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1CB2" w14:textId="77777777" w:rsidR="000B2E59" w:rsidRDefault="000B2E59" w:rsidP="000B2E59">
      <w:pPr>
        <w:pStyle w:val="Default"/>
        <w:rPr>
          <w:rFonts w:ascii="Arial" w:eastAsia="Arial" w:hAnsi="Arial" w:cs="Arial"/>
          <w:sz w:val="36"/>
          <w:szCs w:val="36"/>
        </w:rPr>
      </w:pPr>
      <w:bookmarkStart w:id="0" w:name="_Toc436742195"/>
      <w:bookmarkStart w:id="1" w:name="_Toc436837735"/>
      <w:bookmarkStart w:id="2" w:name="_Toc437270491"/>
    </w:p>
    <w:p w14:paraId="745DA0D4" w14:textId="77777777" w:rsidR="000B2E59" w:rsidRDefault="000B2E59" w:rsidP="000B2E59">
      <w:pPr>
        <w:pStyle w:val="Default"/>
        <w:rPr>
          <w:rFonts w:ascii="Arial" w:eastAsia="Arial" w:hAnsi="Arial" w:cs="Arial"/>
          <w:sz w:val="36"/>
          <w:szCs w:val="36"/>
        </w:rPr>
      </w:pPr>
    </w:p>
    <w:p w14:paraId="797C06A5" w14:textId="77777777" w:rsidR="000B2E59" w:rsidRDefault="000B2E59" w:rsidP="000B2E59">
      <w:pPr>
        <w:pStyle w:val="Default"/>
        <w:rPr>
          <w:rFonts w:ascii="Arial" w:eastAsia="Arial" w:hAnsi="Arial" w:cs="Arial"/>
          <w:sz w:val="36"/>
          <w:szCs w:val="36"/>
        </w:rPr>
      </w:pPr>
    </w:p>
    <w:p w14:paraId="7AA26E42" w14:textId="77777777" w:rsidR="000B2E59" w:rsidRDefault="000B2E59" w:rsidP="000B2E59">
      <w:pPr>
        <w:pStyle w:val="Default"/>
        <w:rPr>
          <w:rFonts w:ascii="Arial" w:eastAsia="Arial" w:hAnsi="Arial" w:cs="Arial"/>
          <w:sz w:val="36"/>
          <w:szCs w:val="36"/>
        </w:rPr>
      </w:pPr>
    </w:p>
    <w:p w14:paraId="1B8E2FFB" w14:textId="77777777" w:rsidR="000B2E59" w:rsidRDefault="000B2E59" w:rsidP="000B2E59">
      <w:pPr>
        <w:pStyle w:val="Default"/>
        <w:rPr>
          <w:rFonts w:ascii="Arial" w:eastAsia="Arial" w:hAnsi="Arial" w:cs="Arial"/>
          <w:sz w:val="36"/>
          <w:szCs w:val="36"/>
        </w:rPr>
      </w:pPr>
    </w:p>
    <w:p w14:paraId="214CB470" w14:textId="77777777" w:rsidR="000B2E59" w:rsidRDefault="000B2E59" w:rsidP="000B2E59">
      <w:pPr>
        <w:pStyle w:val="Default"/>
        <w:rPr>
          <w:rFonts w:ascii="Arial" w:eastAsia="Arial" w:hAnsi="Arial" w:cs="Arial"/>
          <w:sz w:val="36"/>
          <w:szCs w:val="36"/>
        </w:rPr>
      </w:pPr>
    </w:p>
    <w:p w14:paraId="756FA50C" w14:textId="15C4445D" w:rsidR="000B2E59" w:rsidRDefault="000B2E59" w:rsidP="000B2E59">
      <w:pPr>
        <w:pStyle w:val="Default"/>
        <w:rPr>
          <w:rFonts w:ascii="Arial" w:eastAsia="Arial" w:hAnsi="Arial" w:cs="Arial"/>
          <w:sz w:val="36"/>
          <w:szCs w:val="36"/>
        </w:rPr>
      </w:pPr>
      <w:r w:rsidRPr="4C89E363">
        <w:rPr>
          <w:rFonts w:ascii="Arial" w:eastAsia="Arial" w:hAnsi="Arial" w:cs="Arial"/>
          <w:sz w:val="36"/>
          <w:szCs w:val="36"/>
        </w:rPr>
        <w:t>A review of funding arrangements and conditions for the Homelessness Prevention Grant</w:t>
      </w:r>
    </w:p>
    <w:p w14:paraId="2C45F5A6" w14:textId="77777777" w:rsidR="000B2E59" w:rsidRDefault="000B2E59" w:rsidP="000B2E59">
      <w:pPr>
        <w:pStyle w:val="Default"/>
        <w:rPr>
          <w:rFonts w:ascii="Arial" w:eastAsia="Arial" w:hAnsi="Arial" w:cs="Arial"/>
          <w:sz w:val="36"/>
          <w:szCs w:val="36"/>
        </w:rPr>
      </w:pPr>
    </w:p>
    <w:p w14:paraId="789DDD5F" w14:textId="390AFAC0" w:rsidR="000B2E59" w:rsidRPr="00931072" w:rsidRDefault="000B2E59" w:rsidP="000B2E59">
      <w:pPr>
        <w:pStyle w:val="Default"/>
        <w:rPr>
          <w:rFonts w:ascii="Arial" w:eastAsia="Arial" w:hAnsi="Arial" w:cs="Arial"/>
        </w:rPr>
      </w:pPr>
      <w:r>
        <w:rPr>
          <w:rFonts w:ascii="Arial" w:eastAsia="Arial" w:hAnsi="Arial" w:cs="Arial"/>
        </w:rPr>
        <w:t>A t</w:t>
      </w:r>
      <w:r w:rsidRPr="4C89E363">
        <w:rPr>
          <w:rFonts w:ascii="Arial" w:eastAsia="Arial" w:hAnsi="Arial" w:cs="Arial"/>
        </w:rPr>
        <w:t>echnical consultation on updating the funding formula for allocations to local authorities, amending the grant conditions and introducing tranche payments for the Homelessness Prevention Grant</w:t>
      </w:r>
      <w:r w:rsidR="00EE0A7B">
        <w:rPr>
          <w:rFonts w:ascii="Arial" w:eastAsia="Arial" w:hAnsi="Arial" w:cs="Arial"/>
        </w:rPr>
        <w:t>, for 2023/24 onwards</w:t>
      </w:r>
      <w:r w:rsidRPr="4C89E363">
        <w:rPr>
          <w:rFonts w:ascii="Arial" w:eastAsia="Arial" w:hAnsi="Arial" w:cs="Arial"/>
        </w:rPr>
        <w:t xml:space="preserve">. </w:t>
      </w:r>
    </w:p>
    <w:p w14:paraId="46D9BC1B" w14:textId="5E7B3C01" w:rsidR="000B2E59" w:rsidRDefault="000B2E59">
      <w:pPr>
        <w:rPr>
          <w:rFonts w:eastAsia="Arial" w:cs="Arial"/>
          <w:color w:val="000000"/>
          <w:sz w:val="36"/>
          <w:szCs w:val="36"/>
        </w:rPr>
      </w:pPr>
      <w:r>
        <w:rPr>
          <w:rFonts w:eastAsia="Arial" w:cs="Arial"/>
          <w:sz w:val="36"/>
          <w:szCs w:val="36"/>
        </w:rPr>
        <w:br w:type="page"/>
      </w:r>
    </w:p>
    <w:p w14:paraId="64528E36" w14:textId="4A4A8951" w:rsidR="00CF3860" w:rsidRPr="005251AE" w:rsidRDefault="00CF3860" w:rsidP="00DA1024">
      <w:pPr>
        <w:pStyle w:val="Heading2"/>
      </w:pPr>
      <w:r w:rsidRPr="005251AE">
        <w:lastRenderedPageBreak/>
        <w:t>Scope of the consultation</w:t>
      </w:r>
      <w:bookmarkEnd w:id="0"/>
      <w:bookmarkEnd w:id="1"/>
      <w:bookmarkEnd w:id="2"/>
    </w:p>
    <w:p w14:paraId="01764923" w14:textId="0DA25301" w:rsidR="00454738" w:rsidRDefault="005314B8" w:rsidP="00DA1024">
      <w:pPr>
        <w:pStyle w:val="Heading3"/>
      </w:pPr>
      <w:r w:rsidRPr="005251AE">
        <w:t>Topic of this consultation</w:t>
      </w:r>
      <w:r w:rsidR="00577861">
        <w:t>:</w:t>
      </w:r>
    </w:p>
    <w:p w14:paraId="6DCE72CC" w14:textId="7A4A818E" w:rsidR="00F26C47" w:rsidRDefault="00D42E39" w:rsidP="00F26C47">
      <w:pPr>
        <w:pStyle w:val="Default"/>
        <w:rPr>
          <w:rFonts w:ascii="Arial" w:eastAsia="Arial" w:hAnsi="Arial" w:cs="Arial"/>
        </w:rPr>
      </w:pPr>
      <w:r w:rsidRPr="76AAE6C8">
        <w:rPr>
          <w:rFonts w:ascii="Arial" w:eastAsia="Arial" w:hAnsi="Arial" w:cs="Arial"/>
        </w:rPr>
        <w:t>This consultation seeks views on the approach to the funding arrangements for the Homelessness Prevention Grant</w:t>
      </w:r>
      <w:r w:rsidR="00E07886">
        <w:rPr>
          <w:rFonts w:ascii="Arial" w:eastAsia="Arial" w:hAnsi="Arial" w:cs="Arial"/>
        </w:rPr>
        <w:t xml:space="preserve"> for </w:t>
      </w:r>
      <w:r w:rsidR="00EE0A7B">
        <w:rPr>
          <w:rFonts w:ascii="Arial" w:eastAsia="Arial" w:hAnsi="Arial" w:cs="Arial"/>
        </w:rPr>
        <w:t>2023/24 onwards</w:t>
      </w:r>
      <w:r w:rsidR="00E07886">
        <w:rPr>
          <w:rFonts w:ascii="Arial" w:eastAsia="Arial" w:hAnsi="Arial" w:cs="Arial"/>
        </w:rPr>
        <w:t>.</w:t>
      </w:r>
    </w:p>
    <w:p w14:paraId="693D3D9F" w14:textId="77777777" w:rsidR="00D42E39" w:rsidRPr="00F26C47" w:rsidRDefault="00D42E39" w:rsidP="00F26C47">
      <w:pPr>
        <w:pStyle w:val="Default"/>
        <w:rPr>
          <w:rFonts w:ascii="Arial" w:hAnsi="Arial" w:cs="Arial"/>
        </w:rPr>
      </w:pPr>
    </w:p>
    <w:p w14:paraId="0742474F" w14:textId="082AD232" w:rsidR="005314B8" w:rsidRPr="00F26C47" w:rsidRDefault="005314B8" w:rsidP="00F26C47">
      <w:pPr>
        <w:pStyle w:val="Default"/>
        <w:rPr>
          <w:rFonts w:ascii="Arial" w:hAnsi="Arial" w:cs="Arial"/>
        </w:rPr>
      </w:pPr>
      <w:r w:rsidRPr="00F26C47">
        <w:rPr>
          <w:rFonts w:ascii="Arial" w:hAnsi="Arial" w:cs="Arial"/>
        </w:rPr>
        <w:t>It covers the following areas:</w:t>
      </w:r>
    </w:p>
    <w:p w14:paraId="3D5F7269" w14:textId="77777777" w:rsidR="005314B8" w:rsidRPr="00F26C47" w:rsidRDefault="005314B8" w:rsidP="005314B8">
      <w:pPr>
        <w:rPr>
          <w:rFonts w:cs="Arial"/>
        </w:rPr>
      </w:pPr>
    </w:p>
    <w:p w14:paraId="7D1AC69C" w14:textId="61BF6E6D" w:rsidR="005314B8" w:rsidRDefault="000B2E59" w:rsidP="00313243">
      <w:pPr>
        <w:pStyle w:val="BodyText"/>
        <w:numPr>
          <w:ilvl w:val="0"/>
          <w:numId w:val="9"/>
        </w:numPr>
        <w:rPr>
          <w:rFonts w:cs="Arial"/>
        </w:rPr>
      </w:pPr>
      <w:r w:rsidRPr="00F26C47">
        <w:rPr>
          <w:rFonts w:cs="Arial"/>
        </w:rPr>
        <w:t>The case for change</w:t>
      </w:r>
    </w:p>
    <w:p w14:paraId="07FC44AF" w14:textId="4F85EE41" w:rsidR="001F7637" w:rsidRPr="00F26C47" w:rsidRDefault="001F7637" w:rsidP="00313243">
      <w:pPr>
        <w:pStyle w:val="BodyText"/>
        <w:numPr>
          <w:ilvl w:val="0"/>
          <w:numId w:val="9"/>
        </w:numPr>
        <w:rPr>
          <w:rFonts w:cs="Arial"/>
        </w:rPr>
      </w:pPr>
      <w:r>
        <w:rPr>
          <w:rFonts w:cs="Arial"/>
        </w:rPr>
        <w:t>Overview of the consultation</w:t>
      </w:r>
    </w:p>
    <w:p w14:paraId="148DCD14" w14:textId="3FBF8866" w:rsidR="000B2E59" w:rsidRPr="00F26C47" w:rsidRDefault="000B2E59" w:rsidP="00313243">
      <w:pPr>
        <w:pStyle w:val="BodyText"/>
        <w:numPr>
          <w:ilvl w:val="0"/>
          <w:numId w:val="9"/>
        </w:numPr>
        <w:rPr>
          <w:rFonts w:cs="Arial"/>
        </w:rPr>
      </w:pPr>
      <w:r w:rsidRPr="00F26C47">
        <w:rPr>
          <w:rFonts w:cs="Arial"/>
        </w:rPr>
        <w:t>Amendments to the funding formula</w:t>
      </w:r>
    </w:p>
    <w:p w14:paraId="2A2863B8" w14:textId="7DC88D80" w:rsidR="000B2E59" w:rsidRPr="001F7637" w:rsidRDefault="000B2E59" w:rsidP="00313243">
      <w:pPr>
        <w:pStyle w:val="BodyText"/>
        <w:numPr>
          <w:ilvl w:val="0"/>
          <w:numId w:val="9"/>
        </w:numPr>
        <w:rPr>
          <w:rFonts w:cs="Arial"/>
        </w:rPr>
      </w:pPr>
      <w:r w:rsidRPr="00F26C47">
        <w:rPr>
          <w:rFonts w:cs="Arial"/>
        </w:rPr>
        <w:t xml:space="preserve">Introduction of transitional arrangements </w:t>
      </w:r>
      <w:r w:rsidR="001F7637">
        <w:rPr>
          <w:rFonts w:cs="Arial"/>
        </w:rPr>
        <w:t>and t</w:t>
      </w:r>
      <w:r w:rsidR="001F7637" w:rsidRPr="00F26C47">
        <w:rPr>
          <w:rFonts w:cs="Arial"/>
        </w:rPr>
        <w:t>iming of allocation announcements</w:t>
      </w:r>
    </w:p>
    <w:p w14:paraId="2EEF33CE" w14:textId="2FDA7B62" w:rsidR="000B2E59" w:rsidRPr="00F26C47" w:rsidRDefault="000B2E59" w:rsidP="00313243">
      <w:pPr>
        <w:pStyle w:val="ListParagraph"/>
        <w:numPr>
          <w:ilvl w:val="0"/>
          <w:numId w:val="9"/>
        </w:numPr>
        <w:spacing w:after="160" w:line="257" w:lineRule="auto"/>
        <w:rPr>
          <w:rFonts w:ascii="Arial" w:eastAsia="Arial" w:hAnsi="Arial"/>
          <w:u w:val="single"/>
        </w:rPr>
      </w:pPr>
      <w:r w:rsidRPr="00F26C47">
        <w:rPr>
          <w:rFonts w:ascii="Arial" w:eastAsia="Arial" w:hAnsi="Arial"/>
        </w:rPr>
        <w:t>Introduction of an additional grant condition requiring local authorities to submi</w:t>
      </w:r>
      <w:r w:rsidR="00F26C47" w:rsidRPr="00F26C47">
        <w:rPr>
          <w:rFonts w:ascii="Arial" w:eastAsia="Arial" w:hAnsi="Arial"/>
        </w:rPr>
        <w:t>t</w:t>
      </w:r>
      <w:r w:rsidRPr="00F26C47">
        <w:rPr>
          <w:rFonts w:ascii="Arial" w:eastAsia="Arial" w:hAnsi="Arial"/>
        </w:rPr>
        <w:t xml:space="preserve"> a spend declaration</w:t>
      </w:r>
      <w:r w:rsidR="00F26C47" w:rsidRPr="00F26C47">
        <w:rPr>
          <w:rFonts w:ascii="Arial" w:eastAsia="Arial" w:hAnsi="Arial"/>
        </w:rPr>
        <w:t xml:space="preserve"> </w:t>
      </w:r>
    </w:p>
    <w:p w14:paraId="67EA9F53" w14:textId="165F106A" w:rsidR="000B2E59" w:rsidRPr="00F26C47" w:rsidRDefault="000B2E59" w:rsidP="00313243">
      <w:pPr>
        <w:pStyle w:val="BodyText"/>
        <w:numPr>
          <w:ilvl w:val="0"/>
          <w:numId w:val="9"/>
        </w:numPr>
        <w:rPr>
          <w:rFonts w:cs="Arial"/>
        </w:rPr>
      </w:pPr>
      <w:r w:rsidRPr="00F26C47">
        <w:rPr>
          <w:rFonts w:cs="Arial"/>
        </w:rPr>
        <w:t>Introduction of tranche payments</w:t>
      </w:r>
      <w:r w:rsidR="00F26C47" w:rsidRPr="00F26C47">
        <w:rPr>
          <w:rFonts w:cs="Arial"/>
        </w:rPr>
        <w:t xml:space="preserve"> </w:t>
      </w:r>
    </w:p>
    <w:p w14:paraId="241B4FBA" w14:textId="27570111" w:rsidR="00DA1024" w:rsidRDefault="00276966" w:rsidP="00DA1024">
      <w:pPr>
        <w:pStyle w:val="Heading3"/>
      </w:pPr>
      <w:r>
        <w:t>Scope of this consultation</w:t>
      </w:r>
      <w:r w:rsidR="00577861">
        <w:t>:</w:t>
      </w:r>
    </w:p>
    <w:p w14:paraId="5D67896A" w14:textId="77777777" w:rsidR="00751372" w:rsidRPr="00F26C47" w:rsidRDefault="00751372" w:rsidP="00751372">
      <w:pPr>
        <w:pStyle w:val="Default"/>
        <w:rPr>
          <w:rFonts w:ascii="Arial" w:eastAsia="Times New Roman" w:hAnsi="Arial" w:cs="Arial"/>
          <w:color w:val="auto"/>
        </w:rPr>
      </w:pPr>
      <w:r w:rsidRPr="00F26C47">
        <w:rPr>
          <w:rFonts w:ascii="Arial" w:eastAsia="Arial" w:hAnsi="Arial" w:cs="Arial"/>
        </w:rPr>
        <w:t>This consultation seeks views on the approach to the funding for the Homelessness Prevention Grant provided to all local housing authorities in England, with the aim of determining new funding allocations based on current pressures for local authorities and enhancing data collection and assurance of how the grant is used. This applies to grant funding for 2023</w:t>
      </w:r>
      <w:r>
        <w:rPr>
          <w:rFonts w:ascii="Arial" w:eastAsia="Arial" w:hAnsi="Arial" w:cs="Arial"/>
        </w:rPr>
        <w:t>/24 onwards,</w:t>
      </w:r>
      <w:r w:rsidRPr="00F26C47">
        <w:rPr>
          <w:rFonts w:ascii="Arial" w:eastAsia="Arial" w:hAnsi="Arial" w:cs="Arial"/>
        </w:rPr>
        <w:t xml:space="preserve"> with allocations calculated and announced in late 2022.</w:t>
      </w:r>
    </w:p>
    <w:p w14:paraId="63038192" w14:textId="41A57873" w:rsidR="000B2E59" w:rsidRDefault="000B2E59" w:rsidP="000B2E59">
      <w:pPr>
        <w:pStyle w:val="Default"/>
        <w:rPr>
          <w:rFonts w:ascii="Arial" w:eastAsia="Arial" w:hAnsi="Arial" w:cs="Arial"/>
        </w:rPr>
      </w:pPr>
    </w:p>
    <w:p w14:paraId="786D1E50" w14:textId="0426E3F3" w:rsidR="00A1427F" w:rsidRPr="000B2E59" w:rsidRDefault="00A1427F" w:rsidP="000B2E59">
      <w:pPr>
        <w:pStyle w:val="Default"/>
        <w:rPr>
          <w:rFonts w:ascii="Arial" w:eastAsia="Arial" w:hAnsi="Arial" w:cs="Arial"/>
        </w:rPr>
      </w:pPr>
      <w:r>
        <w:t xml:space="preserve">                                                                    </w:t>
      </w:r>
    </w:p>
    <w:p w14:paraId="08E3B5B3" w14:textId="4FD0A964" w:rsidR="00A1427F" w:rsidRPr="00A13F48" w:rsidRDefault="00A1427F" w:rsidP="00662554">
      <w:pPr>
        <w:pStyle w:val="Heading3"/>
      </w:pPr>
      <w:r w:rsidRPr="00A13F48">
        <w:t>Geographical scope</w:t>
      </w:r>
      <w:r w:rsidR="00577861" w:rsidRPr="00A13F48">
        <w:t>:</w:t>
      </w:r>
    </w:p>
    <w:p w14:paraId="5C800F0F" w14:textId="77777777" w:rsidR="00DA1024" w:rsidRPr="00A13F48" w:rsidRDefault="00DA1024" w:rsidP="00DA1024">
      <w:pPr>
        <w:rPr>
          <w:rFonts w:cs="Arial"/>
        </w:rPr>
      </w:pPr>
      <w:r w:rsidRPr="00A13F48">
        <w:rPr>
          <w:rFonts w:cs="Arial"/>
        </w:rPr>
        <w:t>These proposals relate to England only.</w:t>
      </w:r>
    </w:p>
    <w:p w14:paraId="0D47D698" w14:textId="66B3B4C6" w:rsidR="00DA1024" w:rsidRPr="00A13F48" w:rsidRDefault="00DA1024" w:rsidP="005314B8">
      <w:pPr>
        <w:pStyle w:val="BodyText"/>
      </w:pPr>
    </w:p>
    <w:p w14:paraId="172B0BA4" w14:textId="12FF2E5C" w:rsidR="00A969A7" w:rsidRPr="00A13F48" w:rsidRDefault="00A969A7" w:rsidP="00A969A7">
      <w:pPr>
        <w:pStyle w:val="Heading3"/>
      </w:pPr>
      <w:r w:rsidRPr="00A13F48">
        <w:t>Impact assessment</w:t>
      </w:r>
      <w:r w:rsidR="00577861" w:rsidRPr="00A13F48">
        <w:t>:</w:t>
      </w:r>
    </w:p>
    <w:p w14:paraId="66407E20" w14:textId="3A8F3781" w:rsidR="00A969A7" w:rsidRPr="00A13F48" w:rsidRDefault="00A13F48" w:rsidP="005314B8">
      <w:pPr>
        <w:pStyle w:val="BodyText"/>
      </w:pPr>
      <w:r w:rsidRPr="00A13F48">
        <w:t xml:space="preserve">No impact assessment </w:t>
      </w:r>
      <w:r w:rsidR="001C56EA">
        <w:t xml:space="preserve">is required </w:t>
      </w:r>
      <w:r w:rsidRPr="00A13F48">
        <w:t>for this consultation.</w:t>
      </w:r>
      <w:r w:rsidR="00A969A7" w:rsidRPr="00A13F48">
        <w:t xml:space="preserve"> </w:t>
      </w:r>
    </w:p>
    <w:p w14:paraId="366AF5A6" w14:textId="77777777" w:rsidR="00E07886" w:rsidRDefault="00E07886" w:rsidP="00C05C10">
      <w:pPr>
        <w:pStyle w:val="Heading2"/>
      </w:pPr>
      <w:r>
        <w:br w:type="page"/>
      </w:r>
    </w:p>
    <w:p w14:paraId="64528E49" w14:textId="405EB932" w:rsidR="00CF3860" w:rsidRDefault="00CF3860" w:rsidP="00C05C10">
      <w:pPr>
        <w:pStyle w:val="Heading2"/>
      </w:pPr>
      <w:r w:rsidRPr="00DF3618">
        <w:lastRenderedPageBreak/>
        <w:t>Basic Information</w:t>
      </w:r>
    </w:p>
    <w:p w14:paraId="74F1C9CD" w14:textId="34637739" w:rsidR="00A969A7" w:rsidRPr="0065218B" w:rsidRDefault="00A969A7" w:rsidP="00C05C10">
      <w:pPr>
        <w:pStyle w:val="Heading3"/>
      </w:pPr>
      <w:r>
        <w:t xml:space="preserve">Body/bodies responsible </w:t>
      </w:r>
      <w:r w:rsidRPr="0065218B">
        <w:t>for the consultation</w:t>
      </w:r>
      <w:r w:rsidR="00913DB6" w:rsidRPr="0065218B">
        <w:t>:</w:t>
      </w:r>
    </w:p>
    <w:p w14:paraId="20CA0BDA" w14:textId="32D3DA85" w:rsidR="00A553AA" w:rsidRDefault="0065218B" w:rsidP="00A553AA">
      <w:pPr>
        <w:pStyle w:val="BodyText"/>
      </w:pPr>
      <w:r w:rsidRPr="0065218B">
        <w:t>Homelessness and Rough Sleeping Directorate within the Department for Levelling Up, Housing and Communities</w:t>
      </w:r>
      <w:r w:rsidR="00A553AA">
        <w:t xml:space="preserve"> </w:t>
      </w:r>
    </w:p>
    <w:p w14:paraId="015DEFFD" w14:textId="66E1A071" w:rsidR="00A553AA" w:rsidRDefault="00A553AA" w:rsidP="00A553AA">
      <w:pPr>
        <w:pStyle w:val="Heading3"/>
      </w:pPr>
      <w:r>
        <w:t>Duration</w:t>
      </w:r>
      <w:r w:rsidR="00913DB6">
        <w:t>:</w:t>
      </w:r>
    </w:p>
    <w:p w14:paraId="297ED5B9" w14:textId="5EF5106C" w:rsidR="00A553AA" w:rsidRDefault="0065218B" w:rsidP="0065218B">
      <w:pPr>
        <w:pStyle w:val="Default"/>
        <w:rPr>
          <w:rFonts w:cs="Arial"/>
        </w:rPr>
      </w:pPr>
      <w:r w:rsidRPr="53EF9F7E">
        <w:rPr>
          <w:rFonts w:ascii="Arial" w:eastAsia="Arial" w:hAnsi="Arial" w:cs="Arial"/>
        </w:rPr>
        <w:t xml:space="preserve">This consultation will last for </w:t>
      </w:r>
      <w:r w:rsidR="00751372">
        <w:rPr>
          <w:rFonts w:ascii="Arial" w:eastAsia="Arial" w:hAnsi="Arial" w:cs="Arial"/>
        </w:rPr>
        <w:t>8</w:t>
      </w:r>
      <w:r w:rsidR="00583E8A" w:rsidRPr="53EF9F7E">
        <w:rPr>
          <w:rFonts w:ascii="Arial" w:eastAsia="Arial" w:hAnsi="Arial" w:cs="Arial"/>
        </w:rPr>
        <w:t xml:space="preserve"> </w:t>
      </w:r>
      <w:r w:rsidRPr="53EF9F7E">
        <w:rPr>
          <w:rFonts w:ascii="Arial" w:eastAsia="Arial" w:hAnsi="Arial" w:cs="Arial"/>
        </w:rPr>
        <w:t xml:space="preserve">weeks </w:t>
      </w:r>
      <w:r w:rsidRPr="00751372">
        <w:rPr>
          <w:rFonts w:ascii="Arial" w:eastAsia="Arial" w:hAnsi="Arial" w:cs="Arial"/>
        </w:rPr>
        <w:t xml:space="preserve">from </w:t>
      </w:r>
      <w:r w:rsidR="00751372" w:rsidRPr="00751372">
        <w:rPr>
          <w:rFonts w:ascii="Arial" w:eastAsia="Arial" w:hAnsi="Arial" w:cs="Arial"/>
        </w:rPr>
        <w:t>1 July</w:t>
      </w:r>
      <w:r w:rsidR="00C16CFC" w:rsidRPr="00751372">
        <w:rPr>
          <w:rFonts w:ascii="Arial" w:eastAsia="Arial" w:hAnsi="Arial" w:cs="Arial"/>
        </w:rPr>
        <w:t xml:space="preserve"> </w:t>
      </w:r>
      <w:r w:rsidRPr="00751372">
        <w:rPr>
          <w:rFonts w:ascii="Arial" w:eastAsia="Arial" w:hAnsi="Arial" w:cs="Arial"/>
        </w:rPr>
        <w:t xml:space="preserve">2022 to </w:t>
      </w:r>
      <w:r w:rsidR="00751372" w:rsidRPr="00751372">
        <w:rPr>
          <w:rFonts w:ascii="Arial" w:eastAsia="Arial" w:hAnsi="Arial" w:cs="Arial"/>
        </w:rPr>
        <w:t>26</w:t>
      </w:r>
      <w:r w:rsidRPr="00751372">
        <w:rPr>
          <w:rFonts w:ascii="Arial" w:eastAsia="Arial" w:hAnsi="Arial" w:cs="Arial"/>
        </w:rPr>
        <w:t xml:space="preserve"> </w:t>
      </w:r>
      <w:r w:rsidR="008F4700" w:rsidRPr="00751372">
        <w:rPr>
          <w:rFonts w:ascii="Arial" w:eastAsia="Arial" w:hAnsi="Arial" w:cs="Arial"/>
        </w:rPr>
        <w:t>August</w:t>
      </w:r>
      <w:r w:rsidRPr="00751372">
        <w:rPr>
          <w:rFonts w:ascii="Arial" w:eastAsia="Arial" w:hAnsi="Arial" w:cs="Arial"/>
        </w:rPr>
        <w:t xml:space="preserve"> 2022. All responses should be received no later than 23:45 on </w:t>
      </w:r>
      <w:r w:rsidR="00751372" w:rsidRPr="00751372">
        <w:rPr>
          <w:rFonts w:ascii="Arial" w:eastAsia="Arial" w:hAnsi="Arial" w:cs="Arial"/>
        </w:rPr>
        <w:t>26</w:t>
      </w:r>
      <w:r w:rsidR="008F4700" w:rsidRPr="00751372">
        <w:rPr>
          <w:rFonts w:ascii="Arial" w:eastAsia="Arial" w:hAnsi="Arial" w:cs="Arial"/>
        </w:rPr>
        <w:t xml:space="preserve"> August</w:t>
      </w:r>
      <w:r w:rsidRPr="00751372">
        <w:rPr>
          <w:rFonts w:ascii="Arial" w:eastAsia="Arial" w:hAnsi="Arial" w:cs="Arial"/>
        </w:rPr>
        <w:t xml:space="preserve"> 2022.</w:t>
      </w:r>
      <w:r w:rsidR="00A553AA" w:rsidRPr="53EF9F7E">
        <w:rPr>
          <w:rFonts w:cs="Arial"/>
        </w:rPr>
        <w:t xml:space="preserve"> </w:t>
      </w:r>
    </w:p>
    <w:p w14:paraId="0F6A8344" w14:textId="043A83BA" w:rsidR="00EC728F" w:rsidRDefault="00EC728F" w:rsidP="00A553AA">
      <w:pPr>
        <w:rPr>
          <w:rFonts w:cs="Arial"/>
        </w:rPr>
      </w:pPr>
    </w:p>
    <w:p w14:paraId="53DC16A4" w14:textId="78D50DFA" w:rsidR="00EC728F" w:rsidRDefault="00EC728F" w:rsidP="00EC728F">
      <w:pPr>
        <w:pStyle w:val="Heading3"/>
      </w:pPr>
      <w:r>
        <w:t>Enquiries</w:t>
      </w:r>
      <w:r w:rsidR="00913DB6">
        <w:t>:</w:t>
      </w:r>
    </w:p>
    <w:p w14:paraId="25B01301" w14:textId="1B8F6B09" w:rsidR="0065218B" w:rsidRPr="0065218B" w:rsidRDefault="00EC728F" w:rsidP="0065218B">
      <w:pPr>
        <w:pStyle w:val="Default"/>
        <w:rPr>
          <w:rFonts w:ascii="Arial" w:eastAsia="Arial" w:hAnsi="Arial" w:cs="Arial"/>
        </w:rPr>
      </w:pPr>
      <w:r w:rsidRPr="0065218B">
        <w:rPr>
          <w:rFonts w:ascii="Arial" w:hAnsi="Arial" w:cs="Arial"/>
        </w:rPr>
        <w:t>For any enquiries about the consultation please contac</w:t>
      </w:r>
      <w:r w:rsidR="00913DB6" w:rsidRPr="0065218B">
        <w:rPr>
          <w:rFonts w:ascii="Arial" w:hAnsi="Arial" w:cs="Arial"/>
        </w:rPr>
        <w:t>t</w:t>
      </w:r>
      <w:r w:rsidR="0065218B" w:rsidRPr="0065218B">
        <w:rPr>
          <w:rFonts w:ascii="Arial" w:hAnsi="Arial" w:cs="Arial"/>
        </w:rPr>
        <w:t xml:space="preserve"> the </w:t>
      </w:r>
      <w:r w:rsidR="0065218B" w:rsidRPr="0065218B">
        <w:rPr>
          <w:rFonts w:ascii="Arial" w:eastAsia="Arial" w:hAnsi="Arial" w:cs="Arial"/>
        </w:rPr>
        <w:t>Homelessness and Rough Sleeping team:</w:t>
      </w:r>
      <w:r w:rsidR="00E26705">
        <w:rPr>
          <w:rFonts w:ascii="Arial" w:eastAsia="Arial" w:hAnsi="Arial" w:cs="Arial"/>
        </w:rPr>
        <w:t xml:space="preserve"> </w:t>
      </w:r>
      <w:hyperlink r:id="rId12" w:history="1">
        <w:r w:rsidR="00E26705" w:rsidRPr="00D672FD">
          <w:rPr>
            <w:rStyle w:val="Hyperlink"/>
            <w:rFonts w:ascii="Arial" w:eastAsia="Arial" w:hAnsi="Arial" w:cs="Arial"/>
          </w:rPr>
          <w:t>Homelessnesspolicy@levellingup.gov.uk</w:t>
        </w:r>
      </w:hyperlink>
    </w:p>
    <w:p w14:paraId="44C5EF03" w14:textId="6ED5E21B" w:rsidR="00EC728F" w:rsidRDefault="00EC728F" w:rsidP="00EC728F">
      <w:pPr>
        <w:rPr>
          <w:rFonts w:cs="Arial"/>
        </w:rPr>
      </w:pPr>
    </w:p>
    <w:p w14:paraId="51C4FEB8" w14:textId="789CD797" w:rsidR="00EC728F" w:rsidRPr="00D42E39" w:rsidRDefault="00EC728F" w:rsidP="00EC728F">
      <w:pPr>
        <w:pStyle w:val="Heading3"/>
        <w:rPr>
          <w:rFonts w:ascii="Arial" w:hAnsi="Arial" w:cs="Arial"/>
          <w:sz w:val="24"/>
        </w:rPr>
      </w:pPr>
      <w:r>
        <w:t>How to respond</w:t>
      </w:r>
      <w:r w:rsidR="004A3FC7">
        <w:t>:</w:t>
      </w:r>
    </w:p>
    <w:p w14:paraId="0C429BE8" w14:textId="77777777" w:rsidR="00D42E39" w:rsidRPr="00D42E39" w:rsidRDefault="00D42E39" w:rsidP="00D42E39">
      <w:pPr>
        <w:pStyle w:val="Default"/>
        <w:rPr>
          <w:rFonts w:ascii="Arial" w:eastAsia="Arial" w:hAnsi="Arial" w:cs="Arial"/>
        </w:rPr>
      </w:pPr>
      <w:r w:rsidRPr="00D42E39">
        <w:rPr>
          <w:rFonts w:ascii="Arial" w:eastAsia="Arial" w:hAnsi="Arial" w:cs="Arial"/>
        </w:rPr>
        <w:t>Consultation responses should be submitted by online survey:</w:t>
      </w:r>
    </w:p>
    <w:p w14:paraId="7263D91D" w14:textId="70C280F4" w:rsidR="00D42E39" w:rsidRDefault="00D42E39" w:rsidP="00D42E39">
      <w:pPr>
        <w:pStyle w:val="Default"/>
        <w:rPr>
          <w:rFonts w:ascii="Arial" w:eastAsia="Arial" w:hAnsi="Arial" w:cs="Arial"/>
        </w:rPr>
      </w:pPr>
    </w:p>
    <w:p w14:paraId="6E0A2C7B" w14:textId="29FF75F1" w:rsidR="00D42E39" w:rsidRDefault="00EB05C3" w:rsidP="00532EF6">
      <w:pPr>
        <w:pStyle w:val="Default"/>
        <w:rPr>
          <w:rFonts w:ascii="Lato" w:hAnsi="Lato"/>
          <w:color w:val="333333"/>
          <w:sz w:val="21"/>
          <w:szCs w:val="21"/>
          <w:shd w:val="clear" w:color="auto" w:fill="EEEEEE"/>
        </w:rPr>
      </w:pPr>
      <w:hyperlink r:id="rId13" w:history="1">
        <w:r w:rsidR="00532EF6" w:rsidRPr="00D672FD">
          <w:rPr>
            <w:rStyle w:val="Hyperlink"/>
            <w:rFonts w:ascii="Arial" w:eastAsia="Arial" w:hAnsi="Arial" w:cs="Arial"/>
          </w:rPr>
          <w:t>https://consult.levellingup.gov.uk/homelessness-and-rough-sleeping/hpg-technical-consultation-2022</w:t>
        </w:r>
      </w:hyperlink>
    </w:p>
    <w:p w14:paraId="6CDF54BE" w14:textId="77777777" w:rsidR="001F6FDA" w:rsidRDefault="001F6FDA" w:rsidP="00D42E39">
      <w:pPr>
        <w:pStyle w:val="Default"/>
        <w:rPr>
          <w:rFonts w:ascii="Arial" w:eastAsia="Arial" w:hAnsi="Arial" w:cs="Arial"/>
          <w:color w:val="auto"/>
        </w:rPr>
      </w:pPr>
    </w:p>
    <w:p w14:paraId="17594F04" w14:textId="77777777" w:rsidR="00D42E39" w:rsidRPr="00D42E39" w:rsidRDefault="00D42E39" w:rsidP="00D42E39">
      <w:pPr>
        <w:pStyle w:val="Default"/>
        <w:rPr>
          <w:rFonts w:ascii="Arial" w:eastAsia="Arial" w:hAnsi="Arial" w:cs="Arial"/>
        </w:rPr>
      </w:pPr>
      <w:r w:rsidRPr="00D42E39">
        <w:rPr>
          <w:rFonts w:ascii="Arial" w:eastAsia="Arial" w:hAnsi="Arial" w:cs="Arial"/>
        </w:rPr>
        <w:t xml:space="preserve">The online survey will allow you to save a draft response and return to the survey at a later time. You may also submit additional information or evidence to support your response to this consultation. Further advice on how to use these features is available on the home page of the online survey. </w:t>
      </w:r>
    </w:p>
    <w:p w14:paraId="58390852" w14:textId="77777777" w:rsidR="00D42E39" w:rsidRPr="00D42E39" w:rsidRDefault="00D42E39" w:rsidP="00D42E39">
      <w:pPr>
        <w:pStyle w:val="Default"/>
        <w:rPr>
          <w:rFonts w:ascii="Arial" w:eastAsia="Arial" w:hAnsi="Arial" w:cs="Arial"/>
        </w:rPr>
      </w:pPr>
    </w:p>
    <w:p w14:paraId="40F43B55" w14:textId="03378F9E" w:rsidR="00D42E39" w:rsidRPr="00E26705" w:rsidRDefault="005D2F85" w:rsidP="00D42E39">
      <w:pPr>
        <w:pStyle w:val="Default"/>
        <w:rPr>
          <w:rFonts w:ascii="Arial" w:eastAsia="Arial" w:hAnsi="Arial" w:cs="Arial"/>
          <w:color w:val="auto"/>
        </w:rPr>
      </w:pPr>
      <w:r>
        <w:rPr>
          <w:rFonts w:ascii="Arial" w:eastAsia="Arial" w:hAnsi="Arial" w:cs="Arial"/>
        </w:rPr>
        <w:t xml:space="preserve">Alternatively, </w:t>
      </w:r>
      <w:r w:rsidR="00FD105F" w:rsidRPr="00D42E39">
        <w:rPr>
          <w:rFonts w:ascii="Arial" w:eastAsia="Arial" w:hAnsi="Arial" w:cs="Arial"/>
        </w:rPr>
        <w:t>responses</w:t>
      </w:r>
      <w:r w:rsidR="00FD105F">
        <w:rPr>
          <w:rFonts w:ascii="Arial" w:eastAsia="Arial" w:hAnsi="Arial" w:cs="Arial"/>
        </w:rPr>
        <w:t xml:space="preserve">, </w:t>
      </w:r>
      <w:r w:rsidR="00082E25">
        <w:rPr>
          <w:rFonts w:ascii="Arial" w:eastAsia="Arial" w:hAnsi="Arial" w:cs="Arial"/>
        </w:rPr>
        <w:t>as well as</w:t>
      </w:r>
      <w:r w:rsidR="00FD105F">
        <w:rPr>
          <w:rFonts w:ascii="Arial" w:eastAsia="Arial" w:hAnsi="Arial" w:cs="Arial"/>
        </w:rPr>
        <w:t xml:space="preserve"> any further</w:t>
      </w:r>
      <w:r w:rsidR="00FD105F" w:rsidRPr="00D42E39">
        <w:rPr>
          <w:rFonts w:ascii="Arial" w:eastAsia="Arial" w:hAnsi="Arial" w:cs="Arial"/>
        </w:rPr>
        <w:t xml:space="preserve"> </w:t>
      </w:r>
      <w:r w:rsidR="00D42E39" w:rsidRPr="00D42E39">
        <w:rPr>
          <w:rFonts w:ascii="Arial" w:eastAsia="Arial" w:hAnsi="Arial" w:cs="Arial"/>
        </w:rPr>
        <w:t>information or evidence may be provided</w:t>
      </w:r>
      <w:r w:rsidR="00082E25">
        <w:rPr>
          <w:rFonts w:ascii="Arial" w:eastAsia="Arial" w:hAnsi="Arial" w:cs="Arial"/>
        </w:rPr>
        <w:t xml:space="preserve"> </w:t>
      </w:r>
      <w:r w:rsidR="00D42E39" w:rsidRPr="00D42E39">
        <w:rPr>
          <w:rFonts w:ascii="Arial" w:eastAsia="Arial" w:hAnsi="Arial" w:cs="Arial"/>
          <w:color w:val="auto"/>
        </w:rPr>
        <w:t xml:space="preserve">by email to: </w:t>
      </w:r>
      <w:hyperlink r:id="rId14" w:history="1">
        <w:r w:rsidR="00E26705" w:rsidRPr="00D672FD">
          <w:rPr>
            <w:rStyle w:val="Hyperlink"/>
            <w:rFonts w:ascii="Arial" w:eastAsia="Arial" w:hAnsi="Arial" w:cs="Arial"/>
          </w:rPr>
          <w:t>Homelessnesspolicy@levellingup.gov.uk</w:t>
        </w:r>
      </w:hyperlink>
    </w:p>
    <w:p w14:paraId="7494F1DC" w14:textId="77777777" w:rsidR="00D42E39" w:rsidRPr="00D42E39" w:rsidRDefault="00D42E39" w:rsidP="00D42E39">
      <w:pPr>
        <w:pStyle w:val="Default"/>
        <w:rPr>
          <w:rFonts w:ascii="Arial" w:eastAsia="Calibri" w:hAnsi="Arial" w:cs="Arial"/>
          <w:color w:val="auto"/>
        </w:rPr>
      </w:pPr>
    </w:p>
    <w:p w14:paraId="7639F254" w14:textId="1463F036" w:rsidR="00D42E39" w:rsidRPr="00E26705" w:rsidRDefault="00D42E39" w:rsidP="00D42E39">
      <w:pPr>
        <w:pStyle w:val="Default"/>
        <w:rPr>
          <w:rFonts w:ascii="Arial" w:eastAsia="Arial" w:hAnsi="Arial" w:cs="Arial"/>
          <w:color w:val="365F91" w:themeColor="accent1" w:themeShade="BF"/>
        </w:rPr>
      </w:pPr>
      <w:r w:rsidRPr="00D42E39">
        <w:rPr>
          <w:rFonts w:ascii="Arial" w:eastAsia="Arial" w:hAnsi="Arial" w:cs="Arial"/>
          <w:color w:val="auto"/>
        </w:rPr>
        <w:t>We will also be hosting a series of discussions with local authorities and stakeholders to understand views on this topic in more depth. We will be contacting a selection of local authorities in due course. If you would particularly like to be part of one of these conversations, please email us at:</w:t>
      </w:r>
      <w:r w:rsidR="00E26705">
        <w:rPr>
          <w:rFonts w:ascii="Arial" w:eastAsia="Arial" w:hAnsi="Arial" w:cs="Arial"/>
          <w:color w:val="365F91" w:themeColor="accent1" w:themeShade="BF"/>
        </w:rPr>
        <w:t xml:space="preserve"> </w:t>
      </w:r>
      <w:hyperlink r:id="rId15" w:history="1">
        <w:r w:rsidR="00E26705" w:rsidRPr="00D672FD">
          <w:rPr>
            <w:rStyle w:val="Hyperlink"/>
            <w:rFonts w:ascii="Arial" w:eastAsia="Arial" w:hAnsi="Arial" w:cs="Arial"/>
          </w:rPr>
          <w:t>Homelessnesspolicy@levellingup.gov.uk</w:t>
        </w:r>
      </w:hyperlink>
    </w:p>
    <w:p w14:paraId="28127B06" w14:textId="77777777" w:rsidR="00D42E39" w:rsidRPr="00D42E39" w:rsidRDefault="00D42E39" w:rsidP="00D42E39">
      <w:pPr>
        <w:pStyle w:val="Default"/>
        <w:rPr>
          <w:rFonts w:ascii="Arial" w:eastAsia="Calibri" w:hAnsi="Arial" w:cs="Arial"/>
          <w:color w:val="365F91" w:themeColor="accent1" w:themeShade="BF"/>
        </w:rPr>
      </w:pPr>
    </w:p>
    <w:p w14:paraId="68066E6B" w14:textId="77777777" w:rsidR="00D42E39" w:rsidRPr="00D42E39" w:rsidRDefault="00D42E39" w:rsidP="00D42E39">
      <w:pPr>
        <w:pStyle w:val="Default"/>
        <w:rPr>
          <w:rFonts w:ascii="Arial" w:eastAsia="Arial" w:hAnsi="Arial" w:cs="Arial"/>
          <w:color w:val="365F91" w:themeColor="accent1" w:themeShade="BF"/>
        </w:rPr>
      </w:pPr>
      <w:r w:rsidRPr="00D42E39">
        <w:rPr>
          <w:rFonts w:ascii="Arial" w:eastAsia="Arial" w:hAnsi="Arial" w:cs="Arial"/>
          <w:color w:val="auto"/>
        </w:rPr>
        <w:t>We will be giving online, written and oral responses equal weight when responding to this consultation.</w:t>
      </w:r>
    </w:p>
    <w:p w14:paraId="59C6E586" w14:textId="77777777" w:rsidR="00D42E39" w:rsidRPr="00D42E39" w:rsidRDefault="00D42E39" w:rsidP="00D42E39">
      <w:pPr>
        <w:pStyle w:val="Default"/>
        <w:rPr>
          <w:rFonts w:ascii="Arial" w:eastAsia="Arial" w:hAnsi="Arial" w:cs="Arial"/>
          <w:color w:val="365F91" w:themeColor="accent1" w:themeShade="BF"/>
        </w:rPr>
      </w:pPr>
    </w:p>
    <w:p w14:paraId="3E6019AD" w14:textId="77777777" w:rsidR="00D42E39" w:rsidRPr="00D42E39" w:rsidRDefault="00D42E39" w:rsidP="00D42E39">
      <w:pPr>
        <w:pStyle w:val="Default"/>
        <w:rPr>
          <w:rFonts w:ascii="Arial" w:eastAsia="Arial" w:hAnsi="Arial" w:cs="Arial"/>
          <w:color w:val="auto"/>
        </w:rPr>
      </w:pPr>
      <w:r w:rsidRPr="00D42E39">
        <w:rPr>
          <w:rFonts w:ascii="Arial" w:eastAsia="Arial" w:hAnsi="Arial" w:cs="Arial"/>
          <w:color w:val="auto"/>
        </w:rPr>
        <w:t xml:space="preserve">Written responses may also be sent to: </w:t>
      </w:r>
    </w:p>
    <w:p w14:paraId="07C5CD14" w14:textId="77777777" w:rsidR="00D42E39" w:rsidRPr="00D42E39" w:rsidRDefault="00D42E39" w:rsidP="00D42E39">
      <w:pPr>
        <w:pStyle w:val="Default"/>
        <w:rPr>
          <w:rFonts w:ascii="Arial" w:eastAsia="Arial" w:hAnsi="Arial" w:cs="Arial"/>
          <w:color w:val="auto"/>
        </w:rPr>
      </w:pPr>
    </w:p>
    <w:p w14:paraId="4A5939D4" w14:textId="77777777" w:rsidR="00D42E39" w:rsidRPr="00D42E39" w:rsidRDefault="00D42E39" w:rsidP="00D42E39">
      <w:pPr>
        <w:pStyle w:val="Default"/>
        <w:rPr>
          <w:rFonts w:ascii="Arial" w:eastAsia="Arial" w:hAnsi="Arial" w:cs="Arial"/>
          <w:color w:val="auto"/>
        </w:rPr>
      </w:pPr>
      <w:r w:rsidRPr="00D42E39">
        <w:rPr>
          <w:rFonts w:ascii="Arial" w:eastAsia="Arial" w:hAnsi="Arial" w:cs="Arial"/>
          <w:color w:val="auto"/>
        </w:rPr>
        <w:t>Homelessness and Rough Sleeping Team</w:t>
      </w:r>
    </w:p>
    <w:p w14:paraId="5C0C5161" w14:textId="77777777" w:rsidR="00D42E39" w:rsidRPr="00D42E39" w:rsidRDefault="00D42E39" w:rsidP="00D42E39">
      <w:pPr>
        <w:pStyle w:val="Default"/>
        <w:rPr>
          <w:rFonts w:ascii="Arial" w:eastAsia="Arial" w:hAnsi="Arial" w:cs="Arial"/>
        </w:rPr>
      </w:pPr>
      <w:r w:rsidRPr="00D42E39">
        <w:rPr>
          <w:rFonts w:ascii="Arial" w:eastAsia="Arial" w:hAnsi="Arial" w:cs="Arial"/>
          <w:color w:val="auto"/>
        </w:rPr>
        <w:t>Department for Levelling Up, Housing an</w:t>
      </w:r>
      <w:r w:rsidRPr="00D42E39">
        <w:rPr>
          <w:rFonts w:ascii="Arial" w:eastAsia="Arial" w:hAnsi="Arial" w:cs="Arial"/>
        </w:rPr>
        <w:t>d Communities</w:t>
      </w:r>
    </w:p>
    <w:p w14:paraId="5F9AEE7F" w14:textId="77E29C4A" w:rsidR="00D42E39" w:rsidRPr="00D42E39" w:rsidRDefault="00FF2AE6" w:rsidP="00D42E39">
      <w:pPr>
        <w:pStyle w:val="Default"/>
        <w:rPr>
          <w:rFonts w:ascii="Arial" w:eastAsia="Arial" w:hAnsi="Arial" w:cs="Arial"/>
        </w:rPr>
      </w:pPr>
      <w:r>
        <w:rPr>
          <w:rFonts w:ascii="Arial" w:eastAsia="Arial" w:hAnsi="Arial" w:cs="Arial"/>
        </w:rPr>
        <w:t>2n</w:t>
      </w:r>
      <w:r w:rsidRPr="00D42E39">
        <w:rPr>
          <w:rFonts w:ascii="Arial" w:eastAsia="Arial" w:hAnsi="Arial" w:cs="Arial"/>
        </w:rPr>
        <w:t xml:space="preserve">d </w:t>
      </w:r>
      <w:r w:rsidR="00D42E39" w:rsidRPr="00D42E39">
        <w:rPr>
          <w:rFonts w:ascii="Arial" w:eastAsia="Arial" w:hAnsi="Arial" w:cs="Arial"/>
        </w:rPr>
        <w:t xml:space="preserve">floor, Fry Building </w:t>
      </w:r>
    </w:p>
    <w:p w14:paraId="55BC6C6E" w14:textId="77777777" w:rsidR="00D42E39" w:rsidRPr="00D42E39" w:rsidRDefault="00D42E39" w:rsidP="00D42E39">
      <w:pPr>
        <w:pStyle w:val="Default"/>
        <w:rPr>
          <w:rFonts w:ascii="Arial" w:eastAsia="Arial" w:hAnsi="Arial" w:cs="Arial"/>
        </w:rPr>
      </w:pPr>
      <w:r w:rsidRPr="00D42E39">
        <w:rPr>
          <w:rFonts w:ascii="Arial" w:eastAsia="Arial" w:hAnsi="Arial" w:cs="Arial"/>
        </w:rPr>
        <w:t xml:space="preserve">2 Marsham Street </w:t>
      </w:r>
    </w:p>
    <w:p w14:paraId="3898A030" w14:textId="77777777" w:rsidR="00D42E39" w:rsidRPr="00D42E39" w:rsidRDefault="00D42E39" w:rsidP="00D42E39">
      <w:pPr>
        <w:pStyle w:val="Default"/>
        <w:rPr>
          <w:rFonts w:ascii="Arial" w:eastAsia="Arial" w:hAnsi="Arial" w:cs="Arial"/>
        </w:rPr>
      </w:pPr>
      <w:r w:rsidRPr="00D42E39">
        <w:rPr>
          <w:rFonts w:ascii="Arial" w:eastAsia="Arial" w:hAnsi="Arial" w:cs="Arial"/>
        </w:rPr>
        <w:t xml:space="preserve">London </w:t>
      </w:r>
    </w:p>
    <w:p w14:paraId="52461E50" w14:textId="77777777" w:rsidR="00D42E39" w:rsidRPr="00D42E39" w:rsidRDefault="00D42E39" w:rsidP="00D42E39">
      <w:pPr>
        <w:pStyle w:val="Default"/>
        <w:rPr>
          <w:rFonts w:ascii="Arial" w:eastAsia="Arial" w:hAnsi="Arial" w:cs="Arial"/>
        </w:rPr>
      </w:pPr>
      <w:r w:rsidRPr="00D42E39">
        <w:rPr>
          <w:rFonts w:ascii="Arial" w:eastAsia="Arial" w:hAnsi="Arial" w:cs="Arial"/>
        </w:rPr>
        <w:t xml:space="preserve">SW1P 4DF </w:t>
      </w:r>
    </w:p>
    <w:p w14:paraId="6705CAD6" w14:textId="77777777" w:rsidR="00D42E39" w:rsidRPr="00D42E39" w:rsidRDefault="00D42E39" w:rsidP="00D42E39">
      <w:pPr>
        <w:pStyle w:val="Default"/>
        <w:rPr>
          <w:rFonts w:ascii="Arial" w:eastAsia="Arial" w:hAnsi="Arial" w:cs="Arial"/>
        </w:rPr>
      </w:pPr>
    </w:p>
    <w:p w14:paraId="64436389" w14:textId="77777777" w:rsidR="00D42E39" w:rsidRPr="00D42E39" w:rsidRDefault="00D42E39" w:rsidP="00D42E39">
      <w:pPr>
        <w:pStyle w:val="Default"/>
        <w:rPr>
          <w:rFonts w:ascii="Arial" w:eastAsia="Arial" w:hAnsi="Arial" w:cs="Arial"/>
        </w:rPr>
      </w:pPr>
      <w:r w:rsidRPr="00D42E39">
        <w:rPr>
          <w:rFonts w:ascii="Arial" w:eastAsia="Arial" w:hAnsi="Arial" w:cs="Arial"/>
        </w:rPr>
        <w:lastRenderedPageBreak/>
        <w:t>When replying to this survey please confirm whether you are replying as an individual or submitting an official response on behalf of an organisation and include:</w:t>
      </w:r>
    </w:p>
    <w:p w14:paraId="084E58E9" w14:textId="77777777" w:rsidR="00D42E39" w:rsidRPr="00D42E39" w:rsidRDefault="00D42E39" w:rsidP="00D42E39">
      <w:pPr>
        <w:pStyle w:val="Default"/>
        <w:rPr>
          <w:rFonts w:ascii="Arial" w:eastAsia="Arial" w:hAnsi="Arial" w:cs="Arial"/>
        </w:rPr>
      </w:pPr>
    </w:p>
    <w:p w14:paraId="129EA22D" w14:textId="08974541" w:rsidR="006C73A6" w:rsidRDefault="00D42E39" w:rsidP="00D42E39">
      <w:pPr>
        <w:pStyle w:val="Default"/>
        <w:rPr>
          <w:rFonts w:ascii="Arial" w:eastAsia="Arial" w:hAnsi="Arial" w:cs="Arial"/>
        </w:rPr>
      </w:pPr>
      <w:r w:rsidRPr="00D42E39">
        <w:rPr>
          <w:rFonts w:ascii="Arial" w:eastAsia="Arial" w:hAnsi="Arial" w:cs="Arial"/>
        </w:rPr>
        <w:t xml:space="preserve">─ your name </w:t>
      </w:r>
    </w:p>
    <w:p w14:paraId="40B5A9D4" w14:textId="3076C9B9" w:rsidR="00D42E39" w:rsidRPr="00D42E39" w:rsidRDefault="00D42E39" w:rsidP="00D42E39">
      <w:pPr>
        <w:pStyle w:val="Default"/>
        <w:rPr>
          <w:rFonts w:ascii="Arial" w:eastAsia="Arial" w:hAnsi="Arial" w:cs="Arial"/>
        </w:rPr>
      </w:pPr>
      <w:r w:rsidRPr="00D42E39">
        <w:rPr>
          <w:rFonts w:ascii="Arial" w:eastAsia="Arial" w:hAnsi="Arial" w:cs="Arial"/>
        </w:rPr>
        <w:t>─ your position (if applicable)</w:t>
      </w:r>
    </w:p>
    <w:p w14:paraId="1440F2ED" w14:textId="500FC8CD" w:rsidR="00D42E39" w:rsidRPr="00D42E39" w:rsidRDefault="00D42E39" w:rsidP="00D42E39">
      <w:pPr>
        <w:pStyle w:val="Default"/>
        <w:rPr>
          <w:rFonts w:ascii="Arial" w:eastAsia="Arial" w:hAnsi="Arial" w:cs="Arial"/>
        </w:rPr>
      </w:pPr>
      <w:r w:rsidRPr="00D42E39">
        <w:rPr>
          <w:rFonts w:ascii="Arial" w:eastAsia="Arial" w:hAnsi="Arial" w:cs="Arial"/>
        </w:rPr>
        <w:t>─ the name of organisation (if applicable)</w:t>
      </w:r>
    </w:p>
    <w:p w14:paraId="01D52F29" w14:textId="404F5486" w:rsidR="00185E7C" w:rsidRPr="00D42E39" w:rsidRDefault="00185E7C" w:rsidP="006C73A6">
      <w:pPr>
        <w:pStyle w:val="Default"/>
        <w:rPr>
          <w:rFonts w:ascii="Arial" w:eastAsia="Arial" w:hAnsi="Arial" w:cs="Arial"/>
        </w:rPr>
      </w:pPr>
    </w:p>
    <w:p w14:paraId="3DD8A597" w14:textId="1ABA9540" w:rsidR="00E07886" w:rsidRDefault="00185E7C" w:rsidP="00EC728F">
      <w:pPr>
        <w:rPr>
          <w:rFonts w:cs="Arial"/>
        </w:rPr>
      </w:pPr>
      <w:r>
        <w:rPr>
          <w:rFonts w:cs="Arial"/>
        </w:rPr>
        <w:br w:type="page"/>
      </w:r>
    </w:p>
    <w:p w14:paraId="64528E6F" w14:textId="4C8A01FB" w:rsidR="00FA26E4" w:rsidRDefault="00E07886" w:rsidP="00313243">
      <w:pPr>
        <w:pStyle w:val="Heading2"/>
        <w:numPr>
          <w:ilvl w:val="0"/>
          <w:numId w:val="11"/>
        </w:numPr>
      </w:pPr>
      <w:r>
        <w:lastRenderedPageBreak/>
        <w:t>The case for change</w:t>
      </w:r>
    </w:p>
    <w:p w14:paraId="4DC51DA0" w14:textId="29206404" w:rsidR="007E5C9A" w:rsidRDefault="00C3693D" w:rsidP="007E5C9A">
      <w:pPr>
        <w:pStyle w:val="Default"/>
        <w:numPr>
          <w:ilvl w:val="1"/>
          <w:numId w:val="11"/>
        </w:numPr>
        <w:spacing w:after="120"/>
        <w:rPr>
          <w:rFonts w:ascii="Arial" w:eastAsia="Arial" w:hAnsi="Arial" w:cs="Arial"/>
        </w:rPr>
      </w:pPr>
      <w:r w:rsidRPr="40A67FBB">
        <w:rPr>
          <w:rFonts w:ascii="Arial" w:eastAsia="Arial" w:hAnsi="Arial" w:cs="Arial"/>
        </w:rPr>
        <w:t xml:space="preserve">The </w:t>
      </w:r>
      <w:r w:rsidR="00A06413">
        <w:rPr>
          <w:rFonts w:ascii="Arial" w:eastAsia="Arial" w:hAnsi="Arial" w:cs="Arial"/>
        </w:rPr>
        <w:t>g</w:t>
      </w:r>
      <w:r w:rsidR="00F528C5">
        <w:rPr>
          <w:rStyle w:val="normaltextrun"/>
          <w:rFonts w:ascii="Arial" w:hAnsi="Arial" w:cs="Arial"/>
          <w:shd w:val="clear" w:color="auto" w:fill="FFFFFF"/>
        </w:rPr>
        <w:t xml:space="preserve">overnment </w:t>
      </w:r>
      <w:r w:rsidR="00D25CF4" w:rsidRPr="40A67FBB">
        <w:rPr>
          <w:rFonts w:ascii="Arial" w:eastAsia="Arial" w:hAnsi="Arial" w:cs="Arial"/>
        </w:rPr>
        <w:t>is committed to preventing homelessness before it occurs wherever possible</w:t>
      </w:r>
      <w:r w:rsidR="5F4EE771" w:rsidRPr="40A67FBB">
        <w:rPr>
          <w:rFonts w:ascii="Arial" w:eastAsia="Arial" w:hAnsi="Arial" w:cs="Arial"/>
        </w:rPr>
        <w:t xml:space="preserve">. The landmark Homelessness Reduction Act </w:t>
      </w:r>
      <w:r w:rsidR="00EA3C26" w:rsidRPr="40A67FBB">
        <w:rPr>
          <w:rFonts w:ascii="Arial" w:eastAsia="Arial" w:hAnsi="Arial" w:cs="Arial"/>
        </w:rPr>
        <w:t>201</w:t>
      </w:r>
      <w:r w:rsidR="00002EB5">
        <w:rPr>
          <w:rFonts w:ascii="Arial" w:eastAsia="Arial" w:hAnsi="Arial" w:cs="Arial"/>
        </w:rPr>
        <w:t>7</w:t>
      </w:r>
      <w:r w:rsidR="00EA3C26" w:rsidRPr="40A67FBB">
        <w:rPr>
          <w:rFonts w:ascii="Arial" w:eastAsia="Arial" w:hAnsi="Arial" w:cs="Arial"/>
        </w:rPr>
        <w:t xml:space="preserve"> </w:t>
      </w:r>
      <w:r w:rsidR="5F4EE771" w:rsidRPr="40A67FBB">
        <w:rPr>
          <w:rFonts w:ascii="Arial" w:eastAsia="Arial" w:hAnsi="Arial" w:cs="Arial"/>
        </w:rPr>
        <w:t xml:space="preserve">is ensuring that more people get help </w:t>
      </w:r>
      <w:r w:rsidR="005146E4">
        <w:rPr>
          <w:rFonts w:ascii="Arial" w:eastAsia="Arial" w:hAnsi="Arial" w:cs="Arial"/>
        </w:rPr>
        <w:t>earlier</w:t>
      </w:r>
      <w:r w:rsidR="5F4EE771" w:rsidRPr="40A67FBB">
        <w:rPr>
          <w:rFonts w:ascii="Arial" w:eastAsia="Arial" w:hAnsi="Arial" w:cs="Arial"/>
        </w:rPr>
        <w:t>, reduc</w:t>
      </w:r>
      <w:r w:rsidR="00061F45">
        <w:rPr>
          <w:rFonts w:ascii="Arial" w:eastAsia="Arial" w:hAnsi="Arial" w:cs="Arial"/>
        </w:rPr>
        <w:t>ing</w:t>
      </w:r>
      <w:r w:rsidR="5F4EE771" w:rsidRPr="40A67FBB">
        <w:rPr>
          <w:rFonts w:ascii="Arial" w:eastAsia="Arial" w:hAnsi="Arial" w:cs="Arial"/>
        </w:rPr>
        <w:t xml:space="preserve"> the risk that </w:t>
      </w:r>
      <w:r w:rsidR="003D7A16">
        <w:rPr>
          <w:rFonts w:ascii="Arial" w:eastAsia="Arial" w:hAnsi="Arial" w:cs="Arial"/>
        </w:rPr>
        <w:t>households</w:t>
      </w:r>
      <w:r w:rsidR="5F4EE771" w:rsidRPr="40A67FBB">
        <w:rPr>
          <w:rFonts w:ascii="Arial" w:eastAsia="Arial" w:hAnsi="Arial" w:cs="Arial"/>
        </w:rPr>
        <w:t xml:space="preserve"> become homeless. </w:t>
      </w:r>
      <w:r w:rsidR="0013654B" w:rsidRPr="40A67FBB">
        <w:rPr>
          <w:rFonts w:ascii="Arial" w:eastAsia="Arial" w:hAnsi="Arial" w:cs="Arial"/>
        </w:rPr>
        <w:t xml:space="preserve">Intervening at the earliest stage and helping people to resolve their situation before reaching crisis point is better for the households concerned and </w:t>
      </w:r>
      <w:r w:rsidR="0013654B">
        <w:rPr>
          <w:rFonts w:ascii="Arial" w:eastAsia="Arial" w:hAnsi="Arial" w:cs="Arial"/>
        </w:rPr>
        <w:t>reduces costs to the state and wider society</w:t>
      </w:r>
      <w:r w:rsidR="0013654B" w:rsidRPr="40A67FBB">
        <w:rPr>
          <w:rFonts w:ascii="Arial" w:eastAsia="Arial" w:hAnsi="Arial" w:cs="Arial"/>
        </w:rPr>
        <w:t xml:space="preserve">. </w:t>
      </w:r>
    </w:p>
    <w:p w14:paraId="2A7C72BA" w14:textId="62B944C0" w:rsidR="007E5C9A" w:rsidRDefault="007E5C9A" w:rsidP="007E5C9A">
      <w:pPr>
        <w:pStyle w:val="Default"/>
        <w:numPr>
          <w:ilvl w:val="1"/>
          <w:numId w:val="11"/>
        </w:numPr>
        <w:spacing w:after="120"/>
        <w:rPr>
          <w:rFonts w:ascii="Arial" w:eastAsia="Arial" w:hAnsi="Arial" w:cs="Arial"/>
        </w:rPr>
      </w:pPr>
      <w:r w:rsidRPr="007E5C9A">
        <w:rPr>
          <w:rFonts w:ascii="Arial" w:eastAsia="Arial" w:hAnsi="Arial" w:cs="Arial"/>
        </w:rPr>
        <w:t>O</w:t>
      </w:r>
      <w:r w:rsidR="5F4EE771" w:rsidRPr="007E5C9A">
        <w:rPr>
          <w:rFonts w:ascii="Arial" w:eastAsia="Arial" w:hAnsi="Arial" w:cs="Arial"/>
        </w:rPr>
        <w:t>ur</w:t>
      </w:r>
      <w:r w:rsidR="00D25CF4" w:rsidRPr="007E5C9A">
        <w:rPr>
          <w:rFonts w:ascii="Arial" w:eastAsia="Arial" w:hAnsi="Arial" w:cs="Arial"/>
        </w:rPr>
        <w:t xml:space="preserve"> </w:t>
      </w:r>
      <w:bookmarkStart w:id="3" w:name="_Hlk100641727"/>
      <w:r w:rsidR="001367D7" w:rsidRPr="007E5C9A">
        <w:rPr>
          <w:rFonts w:ascii="Arial" w:eastAsia="Arial" w:hAnsi="Arial" w:cs="Arial"/>
        </w:rPr>
        <w:t xml:space="preserve">data </w:t>
      </w:r>
      <w:bookmarkEnd w:id="3"/>
      <w:r w:rsidR="001367D7" w:rsidRPr="007E5C9A">
        <w:rPr>
          <w:rFonts w:ascii="Arial" w:eastAsia="Arial" w:hAnsi="Arial" w:cs="Arial"/>
        </w:rPr>
        <w:t>shows that intervening when a person is at risk of losing their accommodation is</w:t>
      </w:r>
      <w:r w:rsidR="0013654B">
        <w:rPr>
          <w:rFonts w:ascii="Arial" w:eastAsia="Arial" w:hAnsi="Arial" w:cs="Arial"/>
        </w:rPr>
        <w:t xml:space="preserve"> </w:t>
      </w:r>
      <w:r w:rsidR="001367D7" w:rsidRPr="007E5C9A">
        <w:rPr>
          <w:rFonts w:ascii="Arial" w:eastAsia="Arial" w:hAnsi="Arial" w:cs="Arial"/>
        </w:rPr>
        <w:t>overall more effective in tackling homelessness</w:t>
      </w:r>
      <w:r w:rsidR="13A75E60" w:rsidRPr="007E5C9A">
        <w:rPr>
          <w:rFonts w:ascii="Arial" w:eastAsia="Arial" w:hAnsi="Arial" w:cs="Arial"/>
        </w:rPr>
        <w:t>. B</w:t>
      </w:r>
      <w:r w:rsidR="001367D7" w:rsidRPr="007E5C9A">
        <w:rPr>
          <w:rFonts w:ascii="Arial" w:eastAsia="Arial" w:hAnsi="Arial" w:cs="Arial"/>
        </w:rPr>
        <w:t xml:space="preserve">etween </w:t>
      </w:r>
      <w:r w:rsidR="005512D7" w:rsidRPr="007E5C9A">
        <w:rPr>
          <w:rFonts w:ascii="Arial" w:eastAsia="Arial" w:hAnsi="Arial" w:cs="Arial"/>
        </w:rPr>
        <w:t>October</w:t>
      </w:r>
      <w:r w:rsidR="001367D7" w:rsidRPr="007E5C9A">
        <w:rPr>
          <w:rFonts w:ascii="Arial" w:eastAsia="Arial" w:hAnsi="Arial" w:cs="Arial"/>
        </w:rPr>
        <w:t xml:space="preserve"> and </w:t>
      </w:r>
      <w:r w:rsidR="005512D7" w:rsidRPr="007E5C9A">
        <w:rPr>
          <w:rFonts w:ascii="Arial" w:eastAsia="Arial" w:hAnsi="Arial" w:cs="Arial"/>
        </w:rPr>
        <w:t>December</w:t>
      </w:r>
      <w:r w:rsidR="001367D7" w:rsidRPr="007E5C9A">
        <w:rPr>
          <w:rFonts w:ascii="Arial" w:eastAsia="Arial" w:hAnsi="Arial" w:cs="Arial"/>
        </w:rPr>
        <w:t xml:space="preserve"> 2021, 5</w:t>
      </w:r>
      <w:r w:rsidR="005512D7" w:rsidRPr="007E5C9A">
        <w:rPr>
          <w:rFonts w:ascii="Arial" w:eastAsia="Arial" w:hAnsi="Arial" w:cs="Arial"/>
        </w:rPr>
        <w:t>4</w:t>
      </w:r>
      <w:r w:rsidR="001367D7" w:rsidRPr="007E5C9A">
        <w:rPr>
          <w:rFonts w:ascii="Arial" w:eastAsia="Arial" w:hAnsi="Arial" w:cs="Arial"/>
        </w:rPr>
        <w:t>% percent of prevention duties</w:t>
      </w:r>
      <w:r w:rsidR="13A75E60" w:rsidRPr="007E5C9A">
        <w:rPr>
          <w:rFonts w:ascii="Arial" w:eastAsia="Arial" w:hAnsi="Arial" w:cs="Arial"/>
        </w:rPr>
        <w:t xml:space="preserve"> – owed to households at risk of homelessness – </w:t>
      </w:r>
      <w:r w:rsidR="001367D7" w:rsidRPr="007E5C9A">
        <w:rPr>
          <w:rFonts w:ascii="Arial" w:eastAsia="Arial" w:hAnsi="Arial" w:cs="Arial"/>
        </w:rPr>
        <w:t>ended in secured accommodation, as opposed to 4</w:t>
      </w:r>
      <w:r w:rsidR="00982B74" w:rsidRPr="007E5C9A">
        <w:rPr>
          <w:rFonts w:ascii="Arial" w:eastAsia="Arial" w:hAnsi="Arial" w:cs="Arial"/>
        </w:rPr>
        <w:t>5</w:t>
      </w:r>
      <w:r w:rsidR="001367D7" w:rsidRPr="007E5C9A">
        <w:rPr>
          <w:rFonts w:ascii="Arial" w:eastAsia="Arial" w:hAnsi="Arial" w:cs="Arial"/>
        </w:rPr>
        <w:t>% of relief duties</w:t>
      </w:r>
      <w:r w:rsidR="13A75E60" w:rsidRPr="007E5C9A">
        <w:rPr>
          <w:rFonts w:ascii="Arial" w:eastAsia="Arial" w:hAnsi="Arial" w:cs="Arial"/>
        </w:rPr>
        <w:t xml:space="preserve"> owed at the point a household is homeless</w:t>
      </w:r>
      <w:r w:rsidR="001367D7" w:rsidRPr="007E5C9A">
        <w:rPr>
          <w:rFonts w:ascii="Arial" w:eastAsia="Arial" w:hAnsi="Arial" w:cs="Arial"/>
        </w:rPr>
        <w:t>.</w:t>
      </w:r>
      <w:r w:rsidR="0013654B" w:rsidRPr="0013654B">
        <w:rPr>
          <w:rFonts w:ascii="Arial" w:eastAsia="Arial" w:hAnsi="Arial" w:cs="Arial"/>
        </w:rPr>
        <w:t xml:space="preserve"> </w:t>
      </w:r>
      <w:r w:rsidR="0013654B" w:rsidRPr="40A67FBB">
        <w:rPr>
          <w:rFonts w:ascii="Arial" w:eastAsia="Arial" w:hAnsi="Arial" w:cs="Arial"/>
        </w:rPr>
        <w:t>We want to see a shift further towards prioritising prevention activity among local authorities and partners.</w:t>
      </w:r>
    </w:p>
    <w:p w14:paraId="40149FA9" w14:textId="58AFCB4B" w:rsidR="007E5C9A" w:rsidRPr="007E5C9A" w:rsidRDefault="00335E45" w:rsidP="007E5C9A">
      <w:pPr>
        <w:pStyle w:val="Default"/>
        <w:numPr>
          <w:ilvl w:val="1"/>
          <w:numId w:val="11"/>
        </w:numPr>
        <w:spacing w:after="120"/>
        <w:rPr>
          <w:rFonts w:ascii="Arial" w:eastAsia="Arial" w:hAnsi="Arial" w:cs="Arial"/>
        </w:rPr>
      </w:pPr>
      <w:r w:rsidRPr="007E5C9A">
        <w:rPr>
          <w:rFonts w:ascii="Arial" w:eastAsia="Arial" w:hAnsi="Arial" w:cs="Arial"/>
        </w:rPr>
        <w:t xml:space="preserve">In </w:t>
      </w:r>
      <w:r w:rsidR="00B6207F" w:rsidRPr="007E5C9A">
        <w:rPr>
          <w:rFonts w:ascii="Arial" w:eastAsia="Arial" w:hAnsi="Arial" w:cs="Arial"/>
        </w:rPr>
        <w:t>December</w:t>
      </w:r>
      <w:r w:rsidRPr="007E5C9A">
        <w:rPr>
          <w:rFonts w:ascii="Arial" w:eastAsia="Arial" w:hAnsi="Arial" w:cs="Arial"/>
        </w:rPr>
        <w:t xml:space="preserve"> 2021, there were </w:t>
      </w:r>
      <w:r w:rsidR="0070628C" w:rsidRPr="007E5C9A">
        <w:rPr>
          <w:rFonts w:ascii="Arial" w:eastAsia="Arial" w:hAnsi="Arial" w:cs="Arial"/>
        </w:rPr>
        <w:t>9</w:t>
      </w:r>
      <w:r w:rsidR="00B6207F" w:rsidRPr="007E5C9A">
        <w:rPr>
          <w:rFonts w:ascii="Arial" w:eastAsia="Arial" w:hAnsi="Arial" w:cs="Arial"/>
        </w:rPr>
        <w:t>6</w:t>
      </w:r>
      <w:r w:rsidR="0070628C" w:rsidRPr="007E5C9A">
        <w:rPr>
          <w:rFonts w:ascii="Arial" w:eastAsia="Arial" w:hAnsi="Arial" w:cs="Arial"/>
        </w:rPr>
        <w:t>,</w:t>
      </w:r>
      <w:r w:rsidR="00B6207F" w:rsidRPr="007E5C9A">
        <w:rPr>
          <w:rFonts w:ascii="Arial" w:eastAsia="Arial" w:hAnsi="Arial" w:cs="Arial"/>
        </w:rPr>
        <w:t>410</w:t>
      </w:r>
      <w:r w:rsidRPr="007E5C9A">
        <w:rPr>
          <w:rFonts w:ascii="Arial" w:eastAsia="Arial" w:hAnsi="Arial" w:cs="Arial"/>
        </w:rPr>
        <w:t xml:space="preserve"> households in temporary accommodation (TA) in England, including </w:t>
      </w:r>
      <w:r w:rsidR="00B6207F" w:rsidRPr="007E5C9A">
        <w:rPr>
          <w:rFonts w:ascii="Arial" w:eastAsia="Arial" w:hAnsi="Arial" w:cs="Arial"/>
        </w:rPr>
        <w:t>118</w:t>
      </w:r>
      <w:r w:rsidR="00D30B12" w:rsidRPr="007E5C9A">
        <w:rPr>
          <w:rFonts w:ascii="Arial" w:eastAsia="Arial" w:hAnsi="Arial" w:cs="Arial"/>
        </w:rPr>
        <w:t>,</w:t>
      </w:r>
      <w:r w:rsidR="00B6207F" w:rsidRPr="007E5C9A">
        <w:rPr>
          <w:rFonts w:ascii="Arial" w:eastAsia="Arial" w:hAnsi="Arial" w:cs="Arial"/>
        </w:rPr>
        <w:t>90</w:t>
      </w:r>
      <w:r w:rsidR="00D30B12" w:rsidRPr="007E5C9A">
        <w:rPr>
          <w:rFonts w:ascii="Arial" w:eastAsia="Arial" w:hAnsi="Arial" w:cs="Arial"/>
        </w:rPr>
        <w:t>0</w:t>
      </w:r>
      <w:r w:rsidRPr="007E5C9A">
        <w:rPr>
          <w:rFonts w:ascii="Arial" w:eastAsia="Arial" w:hAnsi="Arial" w:cs="Arial"/>
        </w:rPr>
        <w:t xml:space="preserve"> children. </w:t>
      </w:r>
      <w:r w:rsidR="00296DEF" w:rsidRPr="007E5C9A">
        <w:rPr>
          <w:rFonts w:ascii="Arial" w:eastAsia="Arial" w:hAnsi="Arial" w:cs="Arial"/>
        </w:rPr>
        <w:t>Whilst time spent in TA means households are getting help, it does not address the root causes of homelessness.</w:t>
      </w:r>
      <w:r w:rsidR="00296DEF">
        <w:rPr>
          <w:rFonts w:ascii="Arial" w:eastAsia="Arial" w:hAnsi="Arial" w:cs="Arial"/>
        </w:rPr>
        <w:t xml:space="preserve"> </w:t>
      </w:r>
      <w:r w:rsidRPr="007E5C9A">
        <w:rPr>
          <w:rFonts w:ascii="Arial" w:eastAsia="Arial" w:hAnsi="Arial" w:cs="Arial"/>
        </w:rPr>
        <w:t xml:space="preserve">The </w:t>
      </w:r>
      <w:r w:rsidR="00A06413">
        <w:rPr>
          <w:rFonts w:ascii="Arial" w:eastAsia="Arial" w:hAnsi="Arial" w:cs="Arial"/>
        </w:rPr>
        <w:t>g</w:t>
      </w:r>
      <w:r w:rsidRPr="007E5C9A">
        <w:rPr>
          <w:rFonts w:ascii="Arial" w:eastAsia="Arial" w:hAnsi="Arial" w:cs="Arial"/>
        </w:rPr>
        <w:t>overnment is committed to making sure that households have their homelessness resolved without being placed in TA where</w:t>
      </w:r>
      <w:r w:rsidR="00E12D06" w:rsidRPr="007E5C9A">
        <w:rPr>
          <w:rFonts w:ascii="Arial" w:eastAsia="Arial" w:hAnsi="Arial" w:cs="Arial"/>
        </w:rPr>
        <w:t>ver</w:t>
      </w:r>
      <w:r w:rsidRPr="007E5C9A">
        <w:rPr>
          <w:rFonts w:ascii="Arial" w:eastAsia="Arial" w:hAnsi="Arial" w:cs="Arial"/>
        </w:rPr>
        <w:t xml:space="preserve"> possible. </w:t>
      </w:r>
    </w:p>
    <w:p w14:paraId="25D9D9A0" w14:textId="00FEC26F" w:rsidR="001C60E3" w:rsidRDefault="00C97302" w:rsidP="00C9159A">
      <w:pPr>
        <w:pStyle w:val="Default"/>
        <w:numPr>
          <w:ilvl w:val="1"/>
          <w:numId w:val="11"/>
        </w:numPr>
        <w:spacing w:after="120"/>
        <w:rPr>
          <w:rFonts w:ascii="Arial" w:eastAsia="Arial" w:hAnsi="Arial" w:cs="Arial"/>
        </w:rPr>
      </w:pPr>
      <w:r w:rsidRPr="007E5C9A">
        <w:rPr>
          <w:rFonts w:ascii="Arial" w:eastAsia="Arial" w:hAnsi="Arial" w:cs="Arial"/>
        </w:rPr>
        <w:t>TA can also be expensive</w:t>
      </w:r>
      <w:r w:rsidR="00744ECA" w:rsidRPr="007E5C9A">
        <w:rPr>
          <w:rFonts w:ascii="Arial" w:eastAsia="Arial" w:hAnsi="Arial" w:cs="Arial"/>
        </w:rPr>
        <w:t>, but t</w:t>
      </w:r>
      <w:r w:rsidR="00D0544D" w:rsidRPr="007E5C9A">
        <w:rPr>
          <w:rFonts w:ascii="Arial" w:eastAsia="Arial" w:hAnsi="Arial" w:cs="Arial"/>
        </w:rPr>
        <w:t>he</w:t>
      </w:r>
      <w:r w:rsidR="00D25CF4" w:rsidRPr="007E5C9A">
        <w:rPr>
          <w:rFonts w:ascii="Arial" w:eastAsia="Arial" w:hAnsi="Arial" w:cs="Arial"/>
        </w:rPr>
        <w:t xml:space="preserve"> benefits of preventing homelessness </w:t>
      </w:r>
      <w:r w:rsidR="00D0544D" w:rsidRPr="007E5C9A">
        <w:rPr>
          <w:rFonts w:ascii="Arial" w:eastAsia="Arial" w:hAnsi="Arial" w:cs="Arial"/>
        </w:rPr>
        <w:t>before it occurs go</w:t>
      </w:r>
      <w:r w:rsidR="00D25CF4" w:rsidRPr="007E5C9A">
        <w:rPr>
          <w:rFonts w:ascii="Arial" w:eastAsia="Arial" w:hAnsi="Arial" w:cs="Arial"/>
        </w:rPr>
        <w:t xml:space="preserve"> further than </w:t>
      </w:r>
      <w:r w:rsidR="00FE76A7" w:rsidRPr="007E5C9A">
        <w:rPr>
          <w:rFonts w:ascii="Arial" w:eastAsia="Arial" w:hAnsi="Arial" w:cs="Arial"/>
        </w:rPr>
        <w:t>just fiscal benefits.</w:t>
      </w:r>
      <w:r w:rsidR="00D25CF4" w:rsidRPr="007E5C9A">
        <w:rPr>
          <w:rFonts w:ascii="Arial" w:eastAsia="Arial" w:hAnsi="Arial" w:cs="Arial"/>
        </w:rPr>
        <w:t xml:space="preserve"> Enabling people to stay in their homes and remain in their communities - for example by helping them to develop the skills to sustain a tenanc</w:t>
      </w:r>
      <w:r w:rsidR="001C60E3">
        <w:rPr>
          <w:rFonts w:ascii="Arial" w:eastAsia="Arial" w:hAnsi="Arial" w:cs="Arial"/>
        </w:rPr>
        <w:t>y</w:t>
      </w:r>
      <w:r w:rsidR="00D25CF4" w:rsidRPr="007E5C9A">
        <w:rPr>
          <w:rFonts w:ascii="Arial" w:eastAsia="Arial" w:hAnsi="Arial" w:cs="Arial"/>
        </w:rPr>
        <w:t xml:space="preserve"> or supporting them into gainful employment - has </w:t>
      </w:r>
      <w:r w:rsidR="007F223E">
        <w:rPr>
          <w:rFonts w:ascii="Arial" w:eastAsia="Arial" w:hAnsi="Arial" w:cs="Arial"/>
        </w:rPr>
        <w:t>considerable</w:t>
      </w:r>
      <w:r w:rsidR="007F223E" w:rsidRPr="007E5C9A">
        <w:rPr>
          <w:rFonts w:ascii="Arial" w:eastAsia="Arial" w:hAnsi="Arial" w:cs="Arial"/>
        </w:rPr>
        <w:t xml:space="preserve"> </w:t>
      </w:r>
      <w:r w:rsidR="00D25CF4" w:rsidRPr="007E5C9A">
        <w:rPr>
          <w:rFonts w:ascii="Arial" w:eastAsia="Arial" w:hAnsi="Arial" w:cs="Arial"/>
        </w:rPr>
        <w:t xml:space="preserve">long-term </w:t>
      </w:r>
      <w:r w:rsidR="001D1A4F">
        <w:rPr>
          <w:rFonts w:ascii="Arial" w:eastAsia="Arial" w:hAnsi="Arial" w:cs="Arial"/>
        </w:rPr>
        <w:t>benefits</w:t>
      </w:r>
      <w:r w:rsidR="00D25CF4" w:rsidRPr="007E5C9A">
        <w:rPr>
          <w:rFonts w:ascii="Arial" w:eastAsia="Arial" w:hAnsi="Arial" w:cs="Arial"/>
        </w:rPr>
        <w:t xml:space="preserve"> on both </w:t>
      </w:r>
      <w:r w:rsidR="00736CA6">
        <w:rPr>
          <w:rFonts w:ascii="Arial" w:eastAsia="Arial" w:hAnsi="Arial" w:cs="Arial"/>
        </w:rPr>
        <w:t>community</w:t>
      </w:r>
      <w:r w:rsidR="00D25CF4" w:rsidRPr="007E5C9A">
        <w:rPr>
          <w:rFonts w:ascii="Arial" w:eastAsia="Arial" w:hAnsi="Arial" w:cs="Arial"/>
        </w:rPr>
        <w:t xml:space="preserve"> </w:t>
      </w:r>
      <w:r w:rsidR="00331479">
        <w:rPr>
          <w:rFonts w:ascii="Arial" w:eastAsia="Arial" w:hAnsi="Arial" w:cs="Arial"/>
        </w:rPr>
        <w:t xml:space="preserve">cohesion </w:t>
      </w:r>
      <w:r w:rsidR="00D25CF4" w:rsidRPr="007E5C9A">
        <w:rPr>
          <w:rFonts w:ascii="Arial" w:eastAsia="Arial" w:hAnsi="Arial" w:cs="Arial"/>
        </w:rPr>
        <w:t>and individual health and wellbeing. Intervening early also minimises the impact homelessness has on wider public services – including (but not limited to)</w:t>
      </w:r>
      <w:r w:rsidR="00B649E8" w:rsidRPr="007E5C9A">
        <w:rPr>
          <w:rFonts w:ascii="Arial" w:eastAsia="Arial" w:hAnsi="Arial" w:cs="Arial"/>
        </w:rPr>
        <w:t xml:space="preserve"> </w:t>
      </w:r>
      <w:r w:rsidR="00D25CF4" w:rsidRPr="007E5C9A">
        <w:rPr>
          <w:rFonts w:ascii="Arial" w:eastAsia="Arial" w:hAnsi="Arial" w:cs="Arial"/>
        </w:rPr>
        <w:t xml:space="preserve">the courts system and </w:t>
      </w:r>
      <w:r w:rsidR="007E4D99">
        <w:rPr>
          <w:rStyle w:val="normaltextrun"/>
          <w:rFonts w:ascii="Arial" w:hAnsi="Arial" w:cs="Arial"/>
          <w:shd w:val="clear" w:color="auto" w:fill="FFFFFF"/>
        </w:rPr>
        <w:t xml:space="preserve">public health </w:t>
      </w:r>
      <w:r w:rsidR="005502D8" w:rsidRPr="00022888">
        <w:rPr>
          <w:rFonts w:ascii="Arial" w:eastAsia="Arial" w:hAnsi="Arial" w:cs="Arial"/>
        </w:rPr>
        <w:t>services.</w:t>
      </w:r>
    </w:p>
    <w:p w14:paraId="5C33F508" w14:textId="77777777" w:rsidR="00735747" w:rsidRDefault="48766FEA" w:rsidP="00C9159A">
      <w:pPr>
        <w:pStyle w:val="Default"/>
        <w:numPr>
          <w:ilvl w:val="1"/>
          <w:numId w:val="11"/>
        </w:numPr>
        <w:spacing w:after="120"/>
        <w:rPr>
          <w:rFonts w:ascii="Arial" w:eastAsia="Arial" w:hAnsi="Arial" w:cs="Arial"/>
        </w:rPr>
      </w:pPr>
      <w:r w:rsidRPr="007E5C9A">
        <w:rPr>
          <w:rFonts w:ascii="Arial" w:eastAsia="Arial" w:hAnsi="Arial" w:cs="Arial"/>
        </w:rPr>
        <w:t>Alongside</w:t>
      </w:r>
      <w:r w:rsidR="00D25CF4" w:rsidRPr="007E5C9A">
        <w:rPr>
          <w:rFonts w:ascii="Arial" w:eastAsia="Arial" w:hAnsi="Arial" w:cs="Arial"/>
        </w:rPr>
        <w:t xml:space="preserve"> incentivising prevention, we </w:t>
      </w:r>
      <w:r w:rsidRPr="007E5C9A">
        <w:rPr>
          <w:rFonts w:ascii="Arial" w:eastAsia="Arial" w:hAnsi="Arial" w:cs="Arial"/>
        </w:rPr>
        <w:t>are mindful of</w:t>
      </w:r>
      <w:r w:rsidR="00D25CF4" w:rsidRPr="007E5C9A">
        <w:rPr>
          <w:rFonts w:ascii="Arial" w:eastAsia="Arial" w:hAnsi="Arial" w:cs="Arial"/>
        </w:rPr>
        <w:t xml:space="preserve"> the context in which homelessness services are </w:t>
      </w:r>
      <w:r w:rsidRPr="007E5C9A">
        <w:rPr>
          <w:rFonts w:ascii="Arial" w:eastAsia="Arial" w:hAnsi="Arial" w:cs="Arial"/>
        </w:rPr>
        <w:t>operating.</w:t>
      </w:r>
      <w:r w:rsidR="00D25CF4" w:rsidRPr="007E5C9A">
        <w:rPr>
          <w:rFonts w:ascii="Arial" w:eastAsia="Arial" w:hAnsi="Arial" w:cs="Arial"/>
        </w:rPr>
        <w:t xml:space="preserve"> We recognise housing market pressures are particularly acute in certain areas, and that we need to make sure that local authorities are funded for </w:t>
      </w:r>
      <w:r w:rsidR="006F342F" w:rsidRPr="007E5C9A">
        <w:rPr>
          <w:rFonts w:ascii="Arial" w:eastAsia="Arial" w:hAnsi="Arial" w:cs="Arial"/>
        </w:rPr>
        <w:t>TA</w:t>
      </w:r>
      <w:r w:rsidR="00D25CF4" w:rsidRPr="007E5C9A">
        <w:rPr>
          <w:rFonts w:ascii="Arial" w:eastAsia="Arial" w:hAnsi="Arial" w:cs="Arial"/>
        </w:rPr>
        <w:t xml:space="preserve"> costs where these are outside their control.</w:t>
      </w:r>
      <w:r w:rsidR="00B107A6">
        <w:rPr>
          <w:rFonts w:ascii="Arial" w:eastAsia="Arial" w:hAnsi="Arial" w:cs="Arial"/>
        </w:rPr>
        <w:t xml:space="preserve"> </w:t>
      </w:r>
    </w:p>
    <w:p w14:paraId="01351A80" w14:textId="77777777" w:rsidR="00735747" w:rsidRDefault="0071167F" w:rsidP="00A20B6B">
      <w:pPr>
        <w:pStyle w:val="Default"/>
        <w:numPr>
          <w:ilvl w:val="1"/>
          <w:numId w:val="11"/>
        </w:numPr>
        <w:spacing w:after="120"/>
        <w:rPr>
          <w:rFonts w:ascii="Arial" w:eastAsia="Arial" w:hAnsi="Arial" w:cs="Arial"/>
        </w:rPr>
      </w:pPr>
      <w:r w:rsidRPr="00735747">
        <w:rPr>
          <w:rFonts w:ascii="Arial" w:eastAsia="Arial" w:hAnsi="Arial" w:cs="Arial"/>
        </w:rPr>
        <w:t>In recent deca</w:t>
      </w:r>
      <w:r w:rsidR="00177775" w:rsidRPr="00735747">
        <w:rPr>
          <w:rFonts w:ascii="Arial" w:eastAsia="Arial" w:hAnsi="Arial" w:cs="Arial"/>
        </w:rPr>
        <w:t>de</w:t>
      </w:r>
      <w:r w:rsidRPr="00735747">
        <w:rPr>
          <w:rFonts w:ascii="Arial" w:eastAsia="Arial" w:hAnsi="Arial" w:cs="Arial"/>
        </w:rPr>
        <w:t>s, homelessness services have been funded at various points through a combination of the general local government settlement, and bespoke grant funding.</w:t>
      </w:r>
      <w:r w:rsidR="00177775" w:rsidRPr="00735747">
        <w:rPr>
          <w:rFonts w:ascii="Arial" w:eastAsia="Arial" w:hAnsi="Arial" w:cs="Arial"/>
        </w:rPr>
        <w:t xml:space="preserve"> </w:t>
      </w:r>
    </w:p>
    <w:p w14:paraId="4AE3C361" w14:textId="176B59AE" w:rsidR="007E5C9A" w:rsidRPr="00735747" w:rsidRDefault="00177775" w:rsidP="00A20B6B">
      <w:pPr>
        <w:pStyle w:val="Default"/>
        <w:numPr>
          <w:ilvl w:val="1"/>
          <w:numId w:val="11"/>
        </w:numPr>
        <w:spacing w:after="120"/>
        <w:rPr>
          <w:rFonts w:ascii="Arial" w:eastAsia="Arial" w:hAnsi="Arial" w:cs="Arial"/>
        </w:rPr>
      </w:pPr>
      <w:r w:rsidRPr="00735747">
        <w:rPr>
          <w:rFonts w:ascii="Arial" w:eastAsia="Arial" w:hAnsi="Arial" w:cs="Arial"/>
        </w:rPr>
        <w:t xml:space="preserve">Grant funding </w:t>
      </w:r>
      <w:r w:rsidR="00925C5C" w:rsidRPr="00735747">
        <w:rPr>
          <w:rFonts w:ascii="Arial" w:eastAsia="Arial" w:hAnsi="Arial" w:cs="Arial"/>
        </w:rPr>
        <w:t xml:space="preserve">for homelessness </w:t>
      </w:r>
      <w:r w:rsidRPr="00735747">
        <w:rPr>
          <w:rFonts w:ascii="Arial" w:eastAsia="Arial" w:hAnsi="Arial" w:cs="Arial"/>
        </w:rPr>
        <w:t>was most recently reintroduced in 2017 with the Flexible Homelessness Support Grant</w:t>
      </w:r>
      <w:r w:rsidR="00EB5DD5" w:rsidRPr="00735747">
        <w:rPr>
          <w:rFonts w:ascii="Arial" w:eastAsia="Arial" w:hAnsi="Arial" w:cs="Arial"/>
        </w:rPr>
        <w:t xml:space="preserve"> (£</w:t>
      </w:r>
      <w:r w:rsidR="0018208E" w:rsidRPr="00735747">
        <w:rPr>
          <w:rFonts w:ascii="Arial" w:eastAsia="Arial" w:hAnsi="Arial" w:cs="Arial"/>
        </w:rPr>
        <w:t>186m in 2017/18)</w:t>
      </w:r>
      <w:r w:rsidRPr="00735747">
        <w:rPr>
          <w:rFonts w:ascii="Arial" w:eastAsia="Arial" w:hAnsi="Arial" w:cs="Arial"/>
        </w:rPr>
        <w:t xml:space="preserve">, which </w:t>
      </w:r>
      <w:r w:rsidR="00E50A03" w:rsidRPr="00735747">
        <w:rPr>
          <w:rFonts w:ascii="Arial" w:eastAsia="Arial" w:hAnsi="Arial" w:cs="Arial"/>
        </w:rPr>
        <w:t>replaced</w:t>
      </w:r>
      <w:r w:rsidRPr="00735747">
        <w:rPr>
          <w:rFonts w:ascii="Arial" w:eastAsia="Arial" w:hAnsi="Arial" w:cs="Arial"/>
        </w:rPr>
        <w:t xml:space="preserve"> the Temporary Accommodation Management Fee</w:t>
      </w:r>
      <w:r w:rsidR="00E50A03" w:rsidRPr="00735747">
        <w:rPr>
          <w:rFonts w:ascii="Arial" w:eastAsia="Arial" w:hAnsi="Arial" w:cs="Arial"/>
        </w:rPr>
        <w:t xml:space="preserve"> in order to give </w:t>
      </w:r>
      <w:r w:rsidRPr="00735747">
        <w:rPr>
          <w:rFonts w:ascii="Arial" w:eastAsia="Arial" w:hAnsi="Arial" w:cs="Arial"/>
        </w:rPr>
        <w:t>local authorities more flexibility</w:t>
      </w:r>
      <w:r w:rsidR="00F74283" w:rsidRPr="00735747">
        <w:rPr>
          <w:rFonts w:ascii="Arial" w:eastAsia="Arial" w:hAnsi="Arial" w:cs="Arial"/>
        </w:rPr>
        <w:t xml:space="preserve"> over their spend on homelessness and</w:t>
      </w:r>
      <w:r w:rsidR="00E50A03" w:rsidRPr="00735747">
        <w:rPr>
          <w:rFonts w:ascii="Arial" w:eastAsia="Arial" w:hAnsi="Arial" w:cs="Arial"/>
        </w:rPr>
        <w:t xml:space="preserve"> to</w:t>
      </w:r>
      <w:r w:rsidR="00F74283" w:rsidRPr="00735747">
        <w:rPr>
          <w:rFonts w:ascii="Arial" w:eastAsia="Arial" w:hAnsi="Arial" w:cs="Arial"/>
        </w:rPr>
        <w:t xml:space="preserve"> </w:t>
      </w:r>
      <w:r w:rsidR="00E50A03" w:rsidRPr="00735747">
        <w:rPr>
          <w:rFonts w:ascii="Arial" w:eastAsia="Arial" w:hAnsi="Arial" w:cs="Arial"/>
        </w:rPr>
        <w:t>support</w:t>
      </w:r>
      <w:r w:rsidR="00925C5C" w:rsidRPr="00735747">
        <w:rPr>
          <w:rFonts w:ascii="Arial" w:eastAsia="Arial" w:hAnsi="Arial" w:cs="Arial"/>
        </w:rPr>
        <w:t xml:space="preserve"> </w:t>
      </w:r>
      <w:r w:rsidR="0004085B" w:rsidRPr="00735747">
        <w:rPr>
          <w:rFonts w:ascii="Arial" w:eastAsia="Arial" w:hAnsi="Arial" w:cs="Arial"/>
        </w:rPr>
        <w:t xml:space="preserve">them </w:t>
      </w:r>
      <w:r w:rsidR="71832CE3" w:rsidRPr="00735747">
        <w:rPr>
          <w:rFonts w:ascii="Arial" w:eastAsia="Arial" w:hAnsi="Arial" w:cs="Arial"/>
        </w:rPr>
        <w:t>to invest in prevention</w:t>
      </w:r>
      <w:r w:rsidR="087588C4" w:rsidRPr="00735747">
        <w:rPr>
          <w:rFonts w:ascii="Arial" w:eastAsia="Arial" w:hAnsi="Arial" w:cs="Arial"/>
        </w:rPr>
        <w:t>.</w:t>
      </w:r>
      <w:r w:rsidR="00F50F5A" w:rsidRPr="00735747">
        <w:rPr>
          <w:rFonts w:ascii="Arial" w:eastAsia="Arial" w:hAnsi="Arial" w:cs="Arial"/>
        </w:rPr>
        <w:t xml:space="preserve"> </w:t>
      </w:r>
      <w:r w:rsidR="00BD442E" w:rsidRPr="00735747">
        <w:rPr>
          <w:rFonts w:ascii="Arial" w:eastAsia="Arial" w:hAnsi="Arial" w:cs="Arial"/>
        </w:rPr>
        <w:t>This was accompanied by £</w:t>
      </w:r>
      <w:r w:rsidR="000B70DA" w:rsidRPr="00735747">
        <w:rPr>
          <w:rFonts w:ascii="Arial" w:eastAsia="Arial" w:hAnsi="Arial" w:cs="Arial"/>
        </w:rPr>
        <w:t>73m</w:t>
      </w:r>
      <w:r w:rsidR="006A655F" w:rsidRPr="00735747">
        <w:rPr>
          <w:rFonts w:ascii="Arial" w:eastAsia="Arial" w:hAnsi="Arial" w:cs="Arial"/>
        </w:rPr>
        <w:t xml:space="preserve"> in new burdens funding</w:t>
      </w:r>
      <w:r w:rsidR="000B70DA" w:rsidRPr="00735747">
        <w:rPr>
          <w:rFonts w:ascii="Arial" w:eastAsia="Arial" w:hAnsi="Arial" w:cs="Arial"/>
        </w:rPr>
        <w:t xml:space="preserve"> </w:t>
      </w:r>
      <w:r w:rsidR="006A655F" w:rsidRPr="00735747">
        <w:rPr>
          <w:rFonts w:ascii="Arial" w:eastAsia="Arial" w:hAnsi="Arial" w:cs="Arial"/>
        </w:rPr>
        <w:t xml:space="preserve">over three years </w:t>
      </w:r>
      <w:r w:rsidR="00CA724B" w:rsidRPr="00735747">
        <w:rPr>
          <w:rFonts w:ascii="Arial" w:eastAsia="Arial" w:hAnsi="Arial" w:cs="Arial"/>
        </w:rPr>
        <w:t>(</w:t>
      </w:r>
      <w:r w:rsidR="00CF5563" w:rsidRPr="00735747">
        <w:rPr>
          <w:rFonts w:ascii="Arial" w:eastAsia="Arial" w:hAnsi="Arial" w:cs="Arial"/>
        </w:rPr>
        <w:t xml:space="preserve">2017/18, 2018/19, and 2019/20) to support </w:t>
      </w:r>
      <w:r w:rsidR="006A655F" w:rsidRPr="00735747">
        <w:rPr>
          <w:rFonts w:ascii="Arial" w:eastAsia="Arial" w:hAnsi="Arial" w:cs="Arial"/>
        </w:rPr>
        <w:t>the implementation of the Homelessness Reduction Act.</w:t>
      </w:r>
    </w:p>
    <w:p w14:paraId="6E272B04" w14:textId="3DAB56DD" w:rsidR="007E5C9A" w:rsidRDefault="00CA724B" w:rsidP="003C36C6">
      <w:pPr>
        <w:pStyle w:val="Default"/>
        <w:numPr>
          <w:ilvl w:val="1"/>
          <w:numId w:val="11"/>
        </w:numPr>
        <w:spacing w:after="120"/>
        <w:rPr>
          <w:rFonts w:ascii="Arial" w:eastAsia="Arial" w:hAnsi="Arial" w:cs="Arial"/>
        </w:rPr>
      </w:pPr>
      <w:r w:rsidRPr="007E5C9A">
        <w:rPr>
          <w:rFonts w:ascii="Arial" w:eastAsia="Arial" w:hAnsi="Arial" w:cs="Arial"/>
        </w:rPr>
        <w:t xml:space="preserve">£200m of </w:t>
      </w:r>
      <w:r w:rsidR="00CC40F8">
        <w:rPr>
          <w:rFonts w:ascii="Arial" w:eastAsia="Arial" w:hAnsi="Arial" w:cs="Arial"/>
        </w:rPr>
        <w:t xml:space="preserve">funding through </w:t>
      </w:r>
      <w:r w:rsidRPr="007E5C9A">
        <w:rPr>
          <w:rFonts w:ascii="Arial" w:eastAsia="Arial" w:hAnsi="Arial" w:cs="Arial"/>
        </w:rPr>
        <w:t xml:space="preserve">the Flexible Homelessness Support Grant </w:t>
      </w:r>
      <w:r w:rsidR="0013394D" w:rsidRPr="007E5C9A">
        <w:rPr>
          <w:rFonts w:ascii="Arial" w:eastAsia="Arial" w:hAnsi="Arial" w:cs="Arial"/>
        </w:rPr>
        <w:t xml:space="preserve">was </w:t>
      </w:r>
      <w:r w:rsidR="001F3A19">
        <w:rPr>
          <w:rFonts w:ascii="Arial" w:eastAsia="Arial" w:hAnsi="Arial" w:cs="Arial"/>
        </w:rPr>
        <w:t xml:space="preserve">announced in </w:t>
      </w:r>
      <w:r w:rsidR="0013394D" w:rsidRPr="007E5C9A">
        <w:rPr>
          <w:rFonts w:ascii="Arial" w:eastAsia="Arial" w:hAnsi="Arial" w:cs="Arial"/>
        </w:rPr>
        <w:t>2020/21</w:t>
      </w:r>
      <w:r w:rsidR="00925C5C" w:rsidRPr="007E5C9A">
        <w:rPr>
          <w:rFonts w:ascii="Arial" w:eastAsia="Arial" w:hAnsi="Arial" w:cs="Arial"/>
        </w:rPr>
        <w:t>,</w:t>
      </w:r>
      <w:r w:rsidR="00BA22C8" w:rsidRPr="007E5C9A">
        <w:rPr>
          <w:rFonts w:ascii="Arial" w:eastAsia="Arial" w:hAnsi="Arial" w:cs="Arial"/>
        </w:rPr>
        <w:t xml:space="preserve"> and the Homelessness Reduction Grant was introduced to enable local authorities to continue meeting the costs of the Homelessness Reduction Act following the expiry of the original new burdens funding arrangements.</w:t>
      </w:r>
    </w:p>
    <w:p w14:paraId="0950CFFC" w14:textId="541C9ED2" w:rsidR="007E5C9A" w:rsidRDefault="00A74975" w:rsidP="003C36C6">
      <w:pPr>
        <w:pStyle w:val="Default"/>
        <w:numPr>
          <w:ilvl w:val="1"/>
          <w:numId w:val="11"/>
        </w:numPr>
        <w:spacing w:after="120"/>
        <w:rPr>
          <w:rFonts w:ascii="Arial" w:eastAsia="Arial" w:hAnsi="Arial" w:cs="Arial"/>
        </w:rPr>
      </w:pPr>
      <w:r w:rsidRPr="007E5C9A">
        <w:rPr>
          <w:rFonts w:ascii="Arial" w:eastAsia="Arial" w:hAnsi="Arial" w:cs="Arial"/>
        </w:rPr>
        <w:lastRenderedPageBreak/>
        <w:t>In 2021/22, the F</w:t>
      </w:r>
      <w:r w:rsidR="00E07886" w:rsidRPr="007E5C9A">
        <w:rPr>
          <w:rFonts w:ascii="Arial" w:eastAsia="Arial" w:hAnsi="Arial" w:cs="Arial"/>
        </w:rPr>
        <w:t xml:space="preserve">lexible </w:t>
      </w:r>
      <w:r w:rsidR="00D26976">
        <w:rPr>
          <w:rFonts w:ascii="Arial" w:eastAsia="Arial" w:hAnsi="Arial" w:cs="Arial"/>
        </w:rPr>
        <w:t>Homelessness</w:t>
      </w:r>
      <w:r w:rsidR="00E07886" w:rsidRPr="007E5C9A">
        <w:rPr>
          <w:rFonts w:ascii="Arial" w:eastAsia="Arial" w:hAnsi="Arial" w:cs="Arial"/>
        </w:rPr>
        <w:t xml:space="preserve"> Support Grant and the Homelessness Reduction Grant </w:t>
      </w:r>
      <w:r w:rsidRPr="007E5C9A">
        <w:rPr>
          <w:rFonts w:ascii="Arial" w:eastAsia="Arial" w:hAnsi="Arial" w:cs="Arial"/>
        </w:rPr>
        <w:t xml:space="preserve">were combined into the Homelessness Prevention Grant </w:t>
      </w:r>
      <w:r w:rsidR="007B7DFB" w:rsidRPr="007E5C9A">
        <w:rPr>
          <w:rFonts w:ascii="Arial" w:eastAsia="Arial" w:hAnsi="Arial" w:cs="Arial"/>
        </w:rPr>
        <w:t xml:space="preserve">(HPG) </w:t>
      </w:r>
      <w:r w:rsidR="001C58D0" w:rsidRPr="007E5C9A">
        <w:rPr>
          <w:rFonts w:ascii="Arial" w:eastAsia="Arial" w:hAnsi="Arial" w:cs="Arial"/>
        </w:rPr>
        <w:t>and</w:t>
      </w:r>
      <w:r w:rsidR="00E50A03" w:rsidRPr="007E5C9A">
        <w:rPr>
          <w:rFonts w:ascii="Arial" w:eastAsia="Arial" w:hAnsi="Arial" w:cs="Arial"/>
        </w:rPr>
        <w:t xml:space="preserve"> were uplifted by £47m</w:t>
      </w:r>
      <w:r w:rsidR="00E07886" w:rsidRPr="007E5C9A">
        <w:rPr>
          <w:rFonts w:ascii="Arial" w:eastAsia="Arial" w:hAnsi="Arial" w:cs="Arial"/>
        </w:rPr>
        <w:t xml:space="preserve">. </w:t>
      </w:r>
      <w:r w:rsidR="007B7DFB" w:rsidRPr="007E5C9A">
        <w:rPr>
          <w:rFonts w:ascii="Arial" w:eastAsia="Arial" w:hAnsi="Arial" w:cs="Arial"/>
        </w:rPr>
        <w:t xml:space="preserve">HPG funding is provided to all local authorities with responsibility for housing, to support them to deliver their statutory obligations under The Housing Act 1996. It can be used flexibly to help deliver the authorities’ homelessness and rough sleeping strategies. </w:t>
      </w:r>
    </w:p>
    <w:p w14:paraId="70031BA9" w14:textId="63BC3324" w:rsidR="00E07886" w:rsidRPr="007E5C9A" w:rsidRDefault="00E07886" w:rsidP="003C36C6">
      <w:pPr>
        <w:pStyle w:val="Default"/>
        <w:numPr>
          <w:ilvl w:val="1"/>
          <w:numId w:val="11"/>
        </w:numPr>
        <w:spacing w:after="120"/>
        <w:rPr>
          <w:rFonts w:ascii="Arial" w:eastAsia="Arial" w:hAnsi="Arial" w:cs="Arial"/>
        </w:rPr>
      </w:pPr>
      <w:r w:rsidRPr="007E5C9A">
        <w:rPr>
          <w:rFonts w:ascii="Arial" w:eastAsia="Arial" w:hAnsi="Arial" w:cs="Arial"/>
        </w:rPr>
        <w:t>The Homelessness Prevention Grant</w:t>
      </w:r>
      <w:r w:rsidR="00E50A03" w:rsidRPr="007E5C9A">
        <w:rPr>
          <w:rFonts w:ascii="Arial" w:eastAsia="Arial" w:hAnsi="Arial" w:cs="Arial"/>
        </w:rPr>
        <w:t xml:space="preserve"> </w:t>
      </w:r>
      <w:r w:rsidRPr="007E5C9A">
        <w:rPr>
          <w:rFonts w:ascii="Arial" w:eastAsia="Arial" w:hAnsi="Arial" w:cs="Arial"/>
        </w:rPr>
        <w:t xml:space="preserve">totalled £310m in 2021/22 </w:t>
      </w:r>
      <w:r w:rsidR="00E50A03" w:rsidRPr="007E5C9A">
        <w:rPr>
          <w:rFonts w:ascii="Arial" w:eastAsia="Arial" w:hAnsi="Arial" w:cs="Arial"/>
        </w:rPr>
        <w:t>(</w:t>
      </w:r>
      <w:r w:rsidRPr="007E5C9A">
        <w:rPr>
          <w:rFonts w:ascii="Arial" w:eastAsia="Arial" w:hAnsi="Arial" w:cs="Arial"/>
        </w:rPr>
        <w:t xml:space="preserve">excluding the exceptional £65m top-up </w:t>
      </w:r>
      <w:r w:rsidR="0E430564" w:rsidRPr="007E5C9A">
        <w:rPr>
          <w:rFonts w:ascii="Arial" w:eastAsia="Arial" w:hAnsi="Arial" w:cs="Arial"/>
        </w:rPr>
        <w:t xml:space="preserve">announced in October 2021 </w:t>
      </w:r>
      <w:r w:rsidRPr="007E5C9A">
        <w:rPr>
          <w:rFonts w:ascii="Arial" w:eastAsia="Arial" w:hAnsi="Arial" w:cs="Arial"/>
        </w:rPr>
        <w:t>to help vulnerable households with rent arrears)</w:t>
      </w:r>
      <w:r w:rsidR="004E1C0E">
        <w:rPr>
          <w:rStyle w:val="FootnoteReference"/>
          <w:rFonts w:ascii="Arial" w:eastAsia="Arial" w:hAnsi="Arial" w:cs="Arial"/>
        </w:rPr>
        <w:footnoteReference w:id="2"/>
      </w:r>
      <w:r w:rsidR="008A56E1">
        <w:rPr>
          <w:rFonts w:ascii="Arial" w:eastAsia="Arial" w:hAnsi="Arial" w:cs="Arial"/>
        </w:rPr>
        <w:t xml:space="preserve"> and £315.8m in 2022/23</w:t>
      </w:r>
      <w:r w:rsidR="00DF2984">
        <w:rPr>
          <w:rFonts w:ascii="Arial" w:eastAsia="Arial" w:hAnsi="Arial" w:cs="Arial"/>
        </w:rPr>
        <w:t xml:space="preserve"> (including £5.8m in</w:t>
      </w:r>
      <w:r w:rsidR="00D62BB4">
        <w:rPr>
          <w:rFonts w:ascii="Arial" w:eastAsia="Arial" w:hAnsi="Arial" w:cs="Arial"/>
        </w:rPr>
        <w:t xml:space="preserve"> Domestic Abuse Act new burdens funding)</w:t>
      </w:r>
      <w:r w:rsidR="00FE72D0" w:rsidRPr="007E5C9A">
        <w:rPr>
          <w:rFonts w:ascii="Arial" w:eastAsia="Arial" w:hAnsi="Arial" w:cs="Arial"/>
        </w:rPr>
        <w:t>.</w:t>
      </w:r>
      <w:r w:rsidR="00D228C8">
        <w:rPr>
          <w:rFonts w:ascii="Arial" w:eastAsia="Arial" w:hAnsi="Arial" w:cs="Arial"/>
        </w:rPr>
        <w:t xml:space="preserve"> For ease of comparisons throughout the document we use </w:t>
      </w:r>
      <w:r w:rsidR="004F3E78">
        <w:rPr>
          <w:rFonts w:ascii="Arial" w:eastAsia="Arial" w:hAnsi="Arial" w:cs="Arial"/>
        </w:rPr>
        <w:t>21/22 funding as the baseline year (totalling £310m).</w:t>
      </w:r>
    </w:p>
    <w:p w14:paraId="3EAC0D06" w14:textId="77777777" w:rsidR="006D1A1F" w:rsidRDefault="006D1A1F" w:rsidP="00E07886">
      <w:pPr>
        <w:pStyle w:val="Default"/>
        <w:rPr>
          <w:rFonts w:ascii="Arial" w:eastAsia="Arial" w:hAnsi="Arial" w:cs="Arial"/>
          <w:i/>
          <w:iCs/>
          <w:u w:val="single"/>
        </w:rPr>
      </w:pPr>
    </w:p>
    <w:p w14:paraId="0F1ABF4B" w14:textId="08E6C6CF" w:rsidR="00E07886" w:rsidRPr="001C58D0" w:rsidRDefault="00E07886" w:rsidP="00E07886">
      <w:pPr>
        <w:pStyle w:val="Default"/>
        <w:rPr>
          <w:rFonts w:ascii="Arial" w:eastAsia="Arial" w:hAnsi="Arial" w:cs="Arial"/>
          <w:i/>
          <w:iCs/>
          <w:u w:val="single"/>
        </w:rPr>
      </w:pPr>
      <w:r w:rsidRPr="001C58D0">
        <w:rPr>
          <w:rFonts w:ascii="Arial" w:eastAsia="Arial" w:hAnsi="Arial" w:cs="Arial"/>
          <w:i/>
          <w:iCs/>
          <w:u w:val="single"/>
        </w:rPr>
        <w:t>Figure 1.1 – Components of the Homelessness Prevention Grant</w:t>
      </w:r>
      <w:r w:rsidR="003B5F21">
        <w:rPr>
          <w:rFonts w:ascii="Arial" w:eastAsia="Arial" w:hAnsi="Arial" w:cs="Arial"/>
          <w:i/>
          <w:iCs/>
          <w:u w:val="single"/>
        </w:rPr>
        <w:t xml:space="preserve"> (2021/22)</w:t>
      </w:r>
      <w:r w:rsidR="00D66884">
        <w:rPr>
          <w:rStyle w:val="FootnoteReference"/>
          <w:rFonts w:ascii="Arial" w:eastAsia="Arial" w:hAnsi="Arial" w:cs="Arial"/>
          <w:i/>
          <w:iCs/>
          <w:u w:val="single"/>
        </w:rPr>
        <w:footnoteReference w:id="3"/>
      </w:r>
    </w:p>
    <w:p w14:paraId="2365647D" w14:textId="3DDC85CA" w:rsidR="00E07886" w:rsidRPr="00E07886" w:rsidRDefault="00631AE1" w:rsidP="00E07886">
      <w:pPr>
        <w:pStyle w:val="BodyText"/>
      </w:pPr>
      <w:r w:rsidRPr="00631AE1">
        <w:rPr>
          <w:noProof/>
        </w:rPr>
        <mc:AlternateContent>
          <mc:Choice Requires="wpg">
            <w:drawing>
              <wp:anchor distT="0" distB="0" distL="114300" distR="114300" simplePos="0" relativeHeight="251660307" behindDoc="0" locked="0" layoutInCell="1" allowOverlap="1" wp14:anchorId="2EC7582B" wp14:editId="5F529D89">
                <wp:simplePos x="0" y="0"/>
                <wp:positionH relativeFrom="column">
                  <wp:posOffset>-484478</wp:posOffset>
                </wp:positionH>
                <wp:positionV relativeFrom="paragraph">
                  <wp:posOffset>199546</wp:posOffset>
                </wp:positionV>
                <wp:extent cx="7193930" cy="1155478"/>
                <wp:effectExtent l="0" t="19050" r="26035" b="6985"/>
                <wp:wrapNone/>
                <wp:docPr id="36" name="Group 15" descr="Flexible Homelessness Support Grant (£200m introduced in 20/21) + Homelessness Reduction Grant (£63m introduced in 20/21) + HRA uplift (£47m introduced in 21/22) = HPG £310m in 21/22"/>
                <wp:cNvGraphicFramePr/>
                <a:graphic xmlns:a="http://schemas.openxmlformats.org/drawingml/2006/main">
                  <a:graphicData uri="http://schemas.microsoft.com/office/word/2010/wordprocessingGroup">
                    <wpg:wgp>
                      <wpg:cNvGrpSpPr/>
                      <wpg:grpSpPr>
                        <a:xfrm>
                          <a:off x="0" y="0"/>
                          <a:ext cx="7193930" cy="1155478"/>
                          <a:chOff x="0" y="0"/>
                          <a:chExt cx="8490188" cy="1038978"/>
                        </a:xfrm>
                      </wpg:grpSpPr>
                      <wps:wsp>
                        <wps:cNvPr id="40" name="TextBox 8"/>
                        <wps:cNvSpPr txBox="1"/>
                        <wps:spPr>
                          <a:xfrm>
                            <a:off x="2440392" y="12580"/>
                            <a:ext cx="1416050" cy="1026398"/>
                          </a:xfrm>
                          <a:prstGeom prst="rect">
                            <a:avLst/>
                          </a:prstGeom>
                          <a:solidFill>
                            <a:srgbClr val="002060"/>
                          </a:solidFill>
                        </wps:spPr>
                        <wps:txbx>
                          <w:txbxContent>
                            <w:p w14:paraId="4DA251C3" w14:textId="77777777" w:rsidR="00631AE1" w:rsidRDefault="00631AE1" w:rsidP="00631AE1">
                              <w:pPr>
                                <w:jc w:val="center"/>
                                <w:rPr>
                                  <w:rFonts w:cs="Arial"/>
                                  <w:color w:val="FFFFFF"/>
                                  <w:kern w:val="24"/>
                                </w:rPr>
                              </w:pPr>
                              <w:r>
                                <w:rPr>
                                  <w:rFonts w:cs="Arial"/>
                                  <w:color w:val="FFFFFF"/>
                                  <w:kern w:val="24"/>
                                </w:rPr>
                                <w:t>Homelessness Reduction Grant</w:t>
                              </w:r>
                            </w:p>
                            <w:p w14:paraId="67277F87" w14:textId="77777777" w:rsidR="00631AE1" w:rsidRDefault="00631AE1" w:rsidP="00631AE1">
                              <w:pPr>
                                <w:jc w:val="center"/>
                                <w:rPr>
                                  <w:rFonts w:cs="Arial"/>
                                  <w:color w:val="FFFFFF"/>
                                  <w:kern w:val="24"/>
                                </w:rPr>
                              </w:pPr>
                              <w:r>
                                <w:rPr>
                                  <w:rFonts w:cs="Arial"/>
                                  <w:color w:val="FFFFFF"/>
                                  <w:kern w:val="24"/>
                                </w:rPr>
                                <w:t>(</w:t>
                              </w:r>
                              <w:r>
                                <w:rPr>
                                  <w:rFonts w:ascii="Calibri" w:hAnsi="Calibri" w:cs="Arial"/>
                                  <w:color w:val="FFFFFF"/>
                                  <w:kern w:val="24"/>
                                </w:rPr>
                                <w:t>£</w:t>
                              </w:r>
                              <w:r>
                                <w:rPr>
                                  <w:rFonts w:cs="Arial"/>
                                  <w:color w:val="FFFFFF"/>
                                  <w:kern w:val="24"/>
                                </w:rPr>
                                <w:t>63m introduced in 20/21)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TextBox 9"/>
                        <wps:cNvSpPr txBox="1"/>
                        <wps:spPr>
                          <a:xfrm>
                            <a:off x="4766298" y="0"/>
                            <a:ext cx="1413508" cy="1038607"/>
                          </a:xfrm>
                          <a:prstGeom prst="rect">
                            <a:avLst/>
                          </a:prstGeom>
                          <a:solidFill>
                            <a:srgbClr val="002060"/>
                          </a:solidFill>
                        </wps:spPr>
                        <wps:txbx>
                          <w:txbxContent>
                            <w:p w14:paraId="71544824" w14:textId="77777777" w:rsidR="00631AE1" w:rsidRDefault="00631AE1" w:rsidP="00631AE1">
                              <w:pPr>
                                <w:jc w:val="center"/>
                                <w:rPr>
                                  <w:rFonts w:cs="Arial"/>
                                  <w:color w:val="FFFFFF"/>
                                  <w:kern w:val="24"/>
                                </w:rPr>
                              </w:pPr>
                              <w:r>
                                <w:rPr>
                                  <w:rFonts w:cs="Arial"/>
                                  <w:color w:val="FFFFFF"/>
                                  <w:kern w:val="24"/>
                                </w:rPr>
                                <w:t>HRA uplift</w:t>
                              </w:r>
                              <w:r>
                                <w:rPr>
                                  <w:rFonts w:ascii="Calibri" w:hAnsi="Calibri" w:cs="Arial"/>
                                  <w:color w:val="FFFFFF"/>
                                  <w:kern w:val="24"/>
                                </w:rPr>
                                <w:t> </w:t>
                              </w:r>
                            </w:p>
                            <w:p w14:paraId="49606EB6" w14:textId="77777777" w:rsidR="00631AE1" w:rsidRDefault="00631AE1" w:rsidP="00631AE1">
                              <w:pPr>
                                <w:jc w:val="center"/>
                                <w:rPr>
                                  <w:rFonts w:cs="Arial"/>
                                  <w:color w:val="FFFFFF"/>
                                  <w:kern w:val="24"/>
                                </w:rPr>
                              </w:pPr>
                              <w:r>
                                <w:rPr>
                                  <w:rFonts w:cs="Arial"/>
                                  <w:color w:val="FFFFFF"/>
                                  <w:kern w:val="24"/>
                                </w:rPr>
                                <w:t>(</w:t>
                              </w:r>
                              <w:r>
                                <w:rPr>
                                  <w:rFonts w:ascii="Calibri" w:hAnsi="Calibri" w:cs="Arial"/>
                                  <w:color w:val="FFFFFF"/>
                                  <w:kern w:val="24"/>
                                </w:rPr>
                                <w:t>£</w:t>
                              </w:r>
                              <w:r>
                                <w:rPr>
                                  <w:rFonts w:cs="Arial"/>
                                  <w:color w:val="FFFFFF"/>
                                  <w:kern w:val="24"/>
                                </w:rPr>
                                <w:t>47m introduced in 21/22)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TextBox 14"/>
                        <wps:cNvSpPr txBox="1"/>
                        <wps:spPr>
                          <a:xfrm flipH="1">
                            <a:off x="7076678" y="0"/>
                            <a:ext cx="1413510" cy="1007297"/>
                          </a:xfrm>
                          <a:prstGeom prst="rect">
                            <a:avLst/>
                          </a:prstGeom>
                          <a:solidFill>
                            <a:srgbClr val="002060"/>
                          </a:solidFill>
                          <a:ln w="28575">
                            <a:solidFill>
                              <a:srgbClr val="FF0000"/>
                            </a:solidFill>
                          </a:ln>
                        </wps:spPr>
                        <wps:txbx>
                          <w:txbxContent>
                            <w:p w14:paraId="138409AC" w14:textId="77777777" w:rsidR="00631AE1" w:rsidRDefault="00631AE1" w:rsidP="00631AE1">
                              <w:pPr>
                                <w:jc w:val="center"/>
                                <w:rPr>
                                  <w:rFonts w:cs="Arial"/>
                                  <w:color w:val="FFFFFF"/>
                                  <w:kern w:val="24"/>
                                </w:rPr>
                              </w:pPr>
                              <w:r>
                                <w:rPr>
                                  <w:rFonts w:cs="Arial"/>
                                  <w:color w:val="FFFFFF"/>
                                  <w:kern w:val="24"/>
                                </w:rPr>
                                <w:t xml:space="preserve">HPG </w:t>
                              </w:r>
                            </w:p>
                            <w:p w14:paraId="4B73BEE3" w14:textId="77777777" w:rsidR="00631AE1" w:rsidRDefault="00631AE1" w:rsidP="00631AE1">
                              <w:pPr>
                                <w:jc w:val="center"/>
                                <w:rPr>
                                  <w:rFonts w:ascii="Calibri" w:hAnsi="Calibri" w:cs="Arial"/>
                                  <w:color w:val="FFFFFF"/>
                                  <w:kern w:val="24"/>
                                </w:rPr>
                              </w:pPr>
                              <w:r>
                                <w:rPr>
                                  <w:rFonts w:ascii="Calibri" w:hAnsi="Calibri" w:cs="Arial"/>
                                  <w:color w:val="FFFFFF"/>
                                  <w:kern w:val="24"/>
                                </w:rPr>
                                <w:t>£</w:t>
                              </w:r>
                              <w:r>
                                <w:rPr>
                                  <w:rFonts w:cs="Arial"/>
                                  <w:color w:val="FFFFFF"/>
                                  <w:kern w:val="24"/>
                                </w:rPr>
                                <w:t>310m in 21/22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Plus Sign 46" descr="plus sign"/>
                        <wps:cNvSpPr/>
                        <wps:spPr>
                          <a:xfrm>
                            <a:off x="1777091" y="364489"/>
                            <a:ext cx="299720" cy="32258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TextBox 5" descr="Flexible Homelessness Support Grant (£200m introduced in 20/21) + Homelessness Reduction Grant (£63m introduced in 20/21) + HRA uplift (£47m introduced in 21/22) = HPG £310m in 21/22&#10;"/>
                        <wps:cNvSpPr txBox="1"/>
                        <wps:spPr>
                          <a:xfrm>
                            <a:off x="0" y="0"/>
                            <a:ext cx="1413510" cy="1026398"/>
                          </a:xfrm>
                          <a:prstGeom prst="rect">
                            <a:avLst/>
                          </a:prstGeom>
                          <a:solidFill>
                            <a:srgbClr val="002060"/>
                          </a:solidFill>
                        </wps:spPr>
                        <wps:txbx>
                          <w:txbxContent>
                            <w:p w14:paraId="326ED52B" w14:textId="77777777" w:rsidR="00631AE1" w:rsidRDefault="00631AE1" w:rsidP="00631AE1">
                              <w:pPr>
                                <w:jc w:val="center"/>
                                <w:rPr>
                                  <w:color w:val="FFFFFF"/>
                                  <w:kern w:val="24"/>
                                  <w:sz w:val="22"/>
                                  <w:szCs w:val="22"/>
                                </w:rPr>
                              </w:pPr>
                              <w:r>
                                <w:rPr>
                                  <w:color w:val="FFFFFF"/>
                                  <w:kern w:val="24"/>
                                  <w:sz w:val="22"/>
                                  <w:szCs w:val="22"/>
                                </w:rPr>
                                <w:t xml:space="preserve">Flexible Homelessness Support Grant </w:t>
                              </w:r>
                            </w:p>
                            <w:p w14:paraId="60F4B021" w14:textId="77777777" w:rsidR="00631AE1" w:rsidRDefault="00631AE1" w:rsidP="00631AE1">
                              <w:pPr>
                                <w:jc w:val="center"/>
                                <w:rPr>
                                  <w:rFonts w:cs="Arial"/>
                                  <w:color w:val="FFFFFF"/>
                                  <w:kern w:val="24"/>
                                  <w:sz w:val="22"/>
                                  <w:szCs w:val="22"/>
                                </w:rPr>
                              </w:pPr>
                              <w:r>
                                <w:rPr>
                                  <w:rFonts w:cs="Arial"/>
                                  <w:color w:val="FFFFFF"/>
                                  <w:kern w:val="24"/>
                                  <w:sz w:val="22"/>
                                  <w:szCs w:val="22"/>
                                </w:rPr>
                                <w:t>(</w:t>
                              </w:r>
                              <w:r>
                                <w:rPr>
                                  <w:rFonts w:ascii="Calibri" w:hAnsi="Calibri" w:cs="Arial"/>
                                  <w:color w:val="FFFFFF"/>
                                  <w:kern w:val="24"/>
                                  <w:sz w:val="22"/>
                                  <w:szCs w:val="22"/>
                                </w:rPr>
                                <w:t>£</w:t>
                              </w:r>
                              <w:r>
                                <w:rPr>
                                  <w:rFonts w:cs="Arial"/>
                                  <w:color w:val="FFFFFF"/>
                                  <w:kern w:val="24"/>
                                  <w:sz w:val="22"/>
                                  <w:szCs w:val="22"/>
                                </w:rPr>
                                <w:t>200m introduced in 20/21)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Plus Sign 48" descr="plus sign"/>
                        <wps:cNvSpPr/>
                        <wps:spPr>
                          <a:xfrm>
                            <a:off x="4161540" y="342455"/>
                            <a:ext cx="299720" cy="32258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Equals 51" descr="equals sign"/>
                        <wps:cNvSpPr/>
                        <wps:spPr>
                          <a:xfrm>
                            <a:off x="6484965" y="364489"/>
                            <a:ext cx="273685" cy="35623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EC7582B" id="Group 15" o:spid="_x0000_s1026" alt="Flexible Homelessness Support Grant (£200m introduced in 20/21) + Homelessness Reduction Grant (£63m introduced in 20/21) + HRA uplift (£47m introduced in 21/22) = HPG £310m in 21/22" style="position:absolute;margin-left:-38.15pt;margin-top:15.7pt;width:566.45pt;height:91pt;z-index:251660307;mso-width-relative:margin;mso-height-relative:margin" coordsize="84901,1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">
                <v:shapetype id="_x0000_t202" coordsize="21600,21600" o:spt="202" path="m,l,21600r21600,l21600,xe">
                  <v:stroke joinstyle="miter"/>
                  <v:path gradientshapeok="t" o:connecttype="rect"/>
                </v:shapetype>
                <v:shape id="TextBox 8" o:spid="_x0000_s1027" type="#_x0000_t202" style="position:absolute;left:24403;top:125;width:14161;height:10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" fillcolor="#002060" stroked="f">
                  <v:textbox>
                    <w:txbxContent>
                      <w:p w14:paraId="4DA251C3" w14:textId="77777777" w:rsidR="00631AE1" w:rsidRDefault="00631AE1" w:rsidP="00631AE1">
                        <w:pPr>
                          <w:jc w:val="center"/>
                          <w:rPr>
                            <w:rFonts w:cs="Arial"/>
                            <w:color w:val="FFFFFF"/>
                            <w:kern w:val="24"/>
                          </w:rPr>
                        </w:pPr>
                        <w:r>
                          <w:rPr>
                            <w:rFonts w:cs="Arial"/>
                            <w:color w:val="FFFFFF"/>
                            <w:kern w:val="24"/>
                          </w:rPr>
                          <w:t>Homelessness Reduction Grant</w:t>
                        </w:r>
                      </w:p>
                      <w:p w14:paraId="67277F87" w14:textId="77777777" w:rsidR="00631AE1" w:rsidRDefault="00631AE1" w:rsidP="00631AE1">
                        <w:pPr>
                          <w:jc w:val="center"/>
                          <w:rPr>
                            <w:rFonts w:cs="Arial"/>
                            <w:color w:val="FFFFFF"/>
                            <w:kern w:val="24"/>
                          </w:rPr>
                        </w:pPr>
                        <w:r>
                          <w:rPr>
                            <w:rFonts w:cs="Arial"/>
                            <w:color w:val="FFFFFF"/>
                            <w:kern w:val="24"/>
                          </w:rPr>
                          <w:t>(</w:t>
                        </w:r>
                        <w:r>
                          <w:rPr>
                            <w:rFonts w:ascii="Calibri" w:hAnsi="Calibri" w:cs="Arial"/>
                            <w:color w:val="FFFFFF"/>
                            <w:kern w:val="24"/>
                          </w:rPr>
                          <w:t>£</w:t>
                        </w:r>
                        <w:r>
                          <w:rPr>
                            <w:rFonts w:cs="Arial"/>
                            <w:color w:val="FFFFFF"/>
                            <w:kern w:val="24"/>
                          </w:rPr>
                          <w:t>63m introduced in 20/21)</w:t>
                        </w:r>
                      </w:p>
                    </w:txbxContent>
                  </v:textbox>
                </v:shape>
                <v:shape id="TextBox 9" o:spid="_x0000_s1028" type="#_x0000_t202" style="position:absolute;left:47662;width:14136;height:10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" fillcolor="#002060" stroked="f">
                  <v:textbox>
                    <w:txbxContent>
                      <w:p w14:paraId="71544824" w14:textId="77777777" w:rsidR="00631AE1" w:rsidRDefault="00631AE1" w:rsidP="00631AE1">
                        <w:pPr>
                          <w:jc w:val="center"/>
                          <w:rPr>
                            <w:rFonts w:cs="Arial"/>
                            <w:color w:val="FFFFFF"/>
                            <w:kern w:val="24"/>
                          </w:rPr>
                        </w:pPr>
                        <w:r>
                          <w:rPr>
                            <w:rFonts w:cs="Arial"/>
                            <w:color w:val="FFFFFF"/>
                            <w:kern w:val="24"/>
                          </w:rPr>
                          <w:t>HRA uplift</w:t>
                        </w:r>
                        <w:r>
                          <w:rPr>
                            <w:rFonts w:ascii="Calibri" w:hAnsi="Calibri" w:cs="Arial"/>
                            <w:color w:val="FFFFFF"/>
                            <w:kern w:val="24"/>
                          </w:rPr>
                          <w:t> </w:t>
                        </w:r>
                      </w:p>
                      <w:p w14:paraId="49606EB6" w14:textId="77777777" w:rsidR="00631AE1" w:rsidRDefault="00631AE1" w:rsidP="00631AE1">
                        <w:pPr>
                          <w:jc w:val="center"/>
                          <w:rPr>
                            <w:rFonts w:cs="Arial"/>
                            <w:color w:val="FFFFFF"/>
                            <w:kern w:val="24"/>
                          </w:rPr>
                        </w:pPr>
                        <w:r>
                          <w:rPr>
                            <w:rFonts w:cs="Arial"/>
                            <w:color w:val="FFFFFF"/>
                            <w:kern w:val="24"/>
                          </w:rPr>
                          <w:t>(</w:t>
                        </w:r>
                        <w:r>
                          <w:rPr>
                            <w:rFonts w:ascii="Calibri" w:hAnsi="Calibri" w:cs="Arial"/>
                            <w:color w:val="FFFFFF"/>
                            <w:kern w:val="24"/>
                          </w:rPr>
                          <w:t>£</w:t>
                        </w:r>
                        <w:r>
                          <w:rPr>
                            <w:rFonts w:cs="Arial"/>
                            <w:color w:val="FFFFFF"/>
                            <w:kern w:val="24"/>
                          </w:rPr>
                          <w:t>47m introduced in 21/22)</w:t>
                        </w:r>
                      </w:p>
                    </w:txbxContent>
                  </v:textbox>
                </v:shape>
                <v:shape id="TextBox 14" o:spid="_x0000_s1029" type="#_x0000_t202" style="position:absolute;left:70766;width:14135;height:100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" fillcolor="#002060" strokecolor="red" strokeweight="2.25pt">
                  <v:textbox>
                    <w:txbxContent>
                      <w:p w14:paraId="138409AC" w14:textId="77777777" w:rsidR="00631AE1" w:rsidRDefault="00631AE1" w:rsidP="00631AE1">
                        <w:pPr>
                          <w:jc w:val="center"/>
                          <w:rPr>
                            <w:rFonts w:cs="Arial"/>
                            <w:color w:val="FFFFFF"/>
                            <w:kern w:val="24"/>
                          </w:rPr>
                        </w:pPr>
                        <w:r>
                          <w:rPr>
                            <w:rFonts w:cs="Arial"/>
                            <w:color w:val="FFFFFF"/>
                            <w:kern w:val="24"/>
                          </w:rPr>
                          <w:t xml:space="preserve">HPG </w:t>
                        </w:r>
                      </w:p>
                      <w:p w14:paraId="4B73BEE3" w14:textId="77777777" w:rsidR="00631AE1" w:rsidRDefault="00631AE1" w:rsidP="00631AE1">
                        <w:pPr>
                          <w:jc w:val="center"/>
                          <w:rPr>
                            <w:rFonts w:ascii="Calibri" w:hAnsi="Calibri" w:cs="Arial"/>
                            <w:color w:val="FFFFFF"/>
                            <w:kern w:val="24"/>
                          </w:rPr>
                        </w:pPr>
                        <w:r>
                          <w:rPr>
                            <w:rFonts w:ascii="Calibri" w:hAnsi="Calibri" w:cs="Arial"/>
                            <w:color w:val="FFFFFF"/>
                            <w:kern w:val="24"/>
                          </w:rPr>
                          <w:t>£</w:t>
                        </w:r>
                        <w:r>
                          <w:rPr>
                            <w:rFonts w:cs="Arial"/>
                            <w:color w:val="FFFFFF"/>
                            <w:kern w:val="24"/>
                          </w:rPr>
                          <w:t>310m in 21/22</w:t>
                        </w:r>
                      </w:p>
                    </w:txbxContent>
                  </v:textbox>
                </v:shape>
                <v:shape id="Plus Sign 46" o:spid="_x0000_s1030" alt="plus sign" style="position:absolute;left:17770;top:3644;width:2998;height:3226;visibility:visible;mso-wrap-style:square;v-text-anchor:middle" coordsize="299720,32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" path="m39728,126043r74885,l114613,42758r70494,l185107,126043r74885,l259992,196537r-74885,l185107,279822r-70494,l114613,196537r-74885,l39728,126043xe" fillcolor="#4f81bd [3204]" strokecolor="#243f60 [1604]" strokeweight="2pt">
                  <v:path arrowok="t" o:connecttype="custom" o:connectlocs="39728,126043;114613,126043;114613,42758;185107,42758;185107,126043;259992,126043;259992,196537;185107,196537;185107,279822;114613,279822;114613,196537;39728,196537;39728,126043" o:connectangles="0,0,0,0,0,0,0,0,0,0,0,0,0"/>
                </v:shape>
                <v:shape id="TextBox 5" o:spid="_x0000_s1031" type="#_x0000_t202" alt="Flexible Homelessness Support Grant (£200m introduced in 20/21) + Homelessness Reduction Grant (£63m introduced in 20/21) + HRA uplift (£47m introduced in 21/22) = HPG £310m in 21/22&#10;" style="position:absolute;width:14135;height:10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" fillcolor="#002060" stroked="f">
                  <v:textbox>
                    <w:txbxContent>
                      <w:p w14:paraId="326ED52B" w14:textId="77777777" w:rsidR="00631AE1" w:rsidRDefault="00631AE1" w:rsidP="00631AE1">
                        <w:pPr>
                          <w:jc w:val="center"/>
                          <w:rPr>
                            <w:color w:val="FFFFFF"/>
                            <w:kern w:val="24"/>
                            <w:sz w:val="22"/>
                            <w:szCs w:val="22"/>
                          </w:rPr>
                        </w:pPr>
                        <w:r>
                          <w:rPr>
                            <w:color w:val="FFFFFF"/>
                            <w:kern w:val="24"/>
                            <w:sz w:val="22"/>
                            <w:szCs w:val="22"/>
                          </w:rPr>
                          <w:t xml:space="preserve">Flexible Homelessness Support Grant </w:t>
                        </w:r>
                      </w:p>
                      <w:p w14:paraId="60F4B021" w14:textId="77777777" w:rsidR="00631AE1" w:rsidRDefault="00631AE1" w:rsidP="00631AE1">
                        <w:pPr>
                          <w:jc w:val="center"/>
                          <w:rPr>
                            <w:rFonts w:cs="Arial"/>
                            <w:color w:val="FFFFFF"/>
                            <w:kern w:val="24"/>
                            <w:sz w:val="22"/>
                            <w:szCs w:val="22"/>
                          </w:rPr>
                        </w:pPr>
                        <w:r>
                          <w:rPr>
                            <w:rFonts w:cs="Arial"/>
                            <w:color w:val="FFFFFF"/>
                            <w:kern w:val="24"/>
                            <w:sz w:val="22"/>
                            <w:szCs w:val="22"/>
                          </w:rPr>
                          <w:t>(</w:t>
                        </w:r>
                        <w:r>
                          <w:rPr>
                            <w:rFonts w:ascii="Calibri" w:hAnsi="Calibri" w:cs="Arial"/>
                            <w:color w:val="FFFFFF"/>
                            <w:kern w:val="24"/>
                            <w:sz w:val="22"/>
                            <w:szCs w:val="22"/>
                          </w:rPr>
                          <w:t>£</w:t>
                        </w:r>
                        <w:r>
                          <w:rPr>
                            <w:rFonts w:cs="Arial"/>
                            <w:color w:val="FFFFFF"/>
                            <w:kern w:val="24"/>
                            <w:sz w:val="22"/>
                            <w:szCs w:val="22"/>
                          </w:rPr>
                          <w:t>200m introduced in 20/21)</w:t>
                        </w:r>
                      </w:p>
                    </w:txbxContent>
                  </v:textbox>
                </v:shape>
                <v:shape id="Plus Sign 48" o:spid="_x0000_s1032" alt="plus sign" style="position:absolute;left:41615;top:3424;width:2997;height:3226;visibility:visible;mso-wrap-style:square;v-text-anchor:middle" coordsize="299720,32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" path="m39728,126043r74885,l114613,42758r70494,l185107,126043r74885,l259992,196537r-74885,l185107,279822r-70494,l114613,196537r-74885,l39728,126043xe" fillcolor="#4f81bd [3204]" strokecolor="#243f60 [1604]" strokeweight="2pt">
                  <v:path arrowok="t" o:connecttype="custom" o:connectlocs="39728,126043;114613,126043;114613,42758;185107,42758;185107,126043;259992,126043;259992,196537;185107,196537;185107,279822;114613,279822;114613,196537;39728,196537;39728,126043" o:connectangles="0,0,0,0,0,0,0,0,0,0,0,0,0"/>
                </v:shape>
                <v:shape id="Equals 51" o:spid="_x0000_s1033" alt="equals sign" style="position:absolute;left:64849;top:3644;width:2737;height:3563;visibility:visible;mso-wrap-style:square;v-text-anchor:middle" coordsize="273685,35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" path="m36277,73384r201131,l237408,157171r-201131,l36277,73384xm36277,199064r201131,l237408,282851r-201131,l36277,199064xe" fillcolor="#4f81bd [3204]" strokecolor="#243f60 [1604]" strokeweight="2pt">
                  <v:path arrowok="t" o:connecttype="custom" o:connectlocs="36277,73384;237408,73384;237408,157171;36277,157171;36277,73384;36277,199064;237408,199064;237408,282851;36277,282851;36277,199064" o:connectangles="0,0,0,0,0,0,0,0,0,0"/>
                </v:shape>
              </v:group>
            </w:pict>
          </mc:Fallback>
        </mc:AlternateContent>
      </w:r>
    </w:p>
    <w:p w14:paraId="5B1C7B0D" w14:textId="08D065C2" w:rsidR="00E07886" w:rsidRPr="00E07886" w:rsidRDefault="00E07886" w:rsidP="00E07886">
      <w:pPr>
        <w:pStyle w:val="BodyText"/>
      </w:pPr>
    </w:p>
    <w:p w14:paraId="7B6E2182" w14:textId="317AD3FE" w:rsidR="00E07886" w:rsidRPr="00E07886" w:rsidRDefault="00E07886" w:rsidP="00E07886">
      <w:pPr>
        <w:pStyle w:val="BodyText"/>
      </w:pPr>
    </w:p>
    <w:p w14:paraId="03463222" w14:textId="77777777" w:rsidR="001C58D0" w:rsidRDefault="001C58D0" w:rsidP="001C58D0">
      <w:pPr>
        <w:pStyle w:val="Default"/>
        <w:ind w:left="720"/>
        <w:rPr>
          <w:rFonts w:ascii="Arial" w:eastAsia="Arial" w:hAnsi="Arial" w:cs="Arial"/>
        </w:rPr>
      </w:pPr>
    </w:p>
    <w:p w14:paraId="30CB8A1C" w14:textId="77777777" w:rsidR="006D1A1F" w:rsidRDefault="006D1A1F" w:rsidP="001C58D0">
      <w:pPr>
        <w:pStyle w:val="Default"/>
        <w:ind w:left="720"/>
        <w:rPr>
          <w:rFonts w:ascii="Arial" w:eastAsia="Arial" w:hAnsi="Arial" w:cs="Arial"/>
        </w:rPr>
      </w:pPr>
    </w:p>
    <w:p w14:paraId="0150AAEE" w14:textId="77777777" w:rsidR="006D1A1F" w:rsidRDefault="006D1A1F" w:rsidP="001C58D0">
      <w:pPr>
        <w:pStyle w:val="Default"/>
        <w:ind w:left="720"/>
        <w:rPr>
          <w:rFonts w:ascii="Arial" w:eastAsia="Arial" w:hAnsi="Arial" w:cs="Arial"/>
        </w:rPr>
      </w:pPr>
    </w:p>
    <w:p w14:paraId="782CC881" w14:textId="70676E0E" w:rsidR="00E07886" w:rsidRPr="00321026" w:rsidRDefault="00E07886" w:rsidP="00CA1CA5">
      <w:pPr>
        <w:pStyle w:val="Default"/>
        <w:numPr>
          <w:ilvl w:val="1"/>
          <w:numId w:val="11"/>
        </w:numPr>
        <w:rPr>
          <w:rFonts w:ascii="Arial" w:eastAsia="Arial" w:hAnsi="Arial" w:cs="Arial"/>
        </w:rPr>
      </w:pPr>
      <w:r w:rsidRPr="00321026">
        <w:rPr>
          <w:rFonts w:ascii="Arial" w:eastAsia="Arial" w:hAnsi="Arial" w:cs="Arial"/>
        </w:rPr>
        <w:t>The Homelessness Prevention Grant is just one element of the funding local authorities</w:t>
      </w:r>
      <w:r w:rsidR="00166E98" w:rsidRPr="00321026">
        <w:rPr>
          <w:rFonts w:ascii="Arial" w:eastAsia="Arial" w:hAnsi="Arial" w:cs="Arial"/>
        </w:rPr>
        <w:t xml:space="preserve"> can access</w:t>
      </w:r>
      <w:r w:rsidRPr="00321026">
        <w:rPr>
          <w:rFonts w:ascii="Arial" w:eastAsia="Arial" w:hAnsi="Arial" w:cs="Arial"/>
        </w:rPr>
        <w:t xml:space="preserve"> to prevent homelessness</w:t>
      </w:r>
      <w:r w:rsidR="00587561">
        <w:rPr>
          <w:rFonts w:ascii="Arial" w:eastAsia="Arial" w:hAnsi="Arial" w:cs="Arial"/>
        </w:rPr>
        <w:t>, as shown in the diagram below.</w:t>
      </w:r>
    </w:p>
    <w:p w14:paraId="3BDD02E0" w14:textId="668CC66F" w:rsidR="00321026" w:rsidRPr="00616405" w:rsidRDefault="00616405" w:rsidP="00616405">
      <w:pPr>
        <w:rPr>
          <w:rFonts w:eastAsia="Arial" w:cs="Arial"/>
          <w:color w:val="000000"/>
        </w:rPr>
      </w:pPr>
      <w:r>
        <w:rPr>
          <w:rFonts w:eastAsia="Arial" w:cs="Arial"/>
        </w:rPr>
        <w:br w:type="page"/>
      </w:r>
    </w:p>
    <w:p w14:paraId="7DC88470" w14:textId="0D123451" w:rsidR="00E07886" w:rsidRDefault="00E07886" w:rsidP="00E07886">
      <w:pPr>
        <w:pStyle w:val="Default"/>
        <w:rPr>
          <w:rFonts w:ascii="Arial" w:eastAsia="Arial" w:hAnsi="Arial" w:cs="Arial"/>
          <w:i/>
          <w:iCs/>
          <w:sz w:val="22"/>
          <w:szCs w:val="22"/>
          <w:u w:val="single"/>
        </w:rPr>
      </w:pPr>
      <w:r w:rsidRPr="00FC28B8">
        <w:rPr>
          <w:rFonts w:ascii="Arial" w:eastAsia="Arial" w:hAnsi="Arial" w:cs="Arial"/>
          <w:i/>
          <w:iCs/>
          <w:sz w:val="22"/>
          <w:szCs w:val="22"/>
          <w:u w:val="single"/>
        </w:rPr>
        <w:lastRenderedPageBreak/>
        <w:t>Figure 1.2 – Homelessness funding</w:t>
      </w:r>
      <w:r w:rsidR="00D14232">
        <w:rPr>
          <w:rFonts w:ascii="Arial" w:eastAsia="Arial" w:hAnsi="Arial" w:cs="Arial"/>
          <w:i/>
          <w:iCs/>
          <w:sz w:val="22"/>
          <w:szCs w:val="22"/>
          <w:u w:val="single"/>
        </w:rPr>
        <w:t>:</w:t>
      </w:r>
      <w:r w:rsidRPr="00FC28B8">
        <w:rPr>
          <w:rFonts w:ascii="Arial" w:eastAsia="Arial" w:hAnsi="Arial" w:cs="Arial"/>
          <w:i/>
          <w:iCs/>
          <w:sz w:val="22"/>
          <w:szCs w:val="22"/>
          <w:u w:val="single"/>
        </w:rPr>
        <w:t xml:space="preserve"> funding streams </w:t>
      </w:r>
      <w:r w:rsidR="0E430564" w:rsidRPr="57D2B8DC">
        <w:rPr>
          <w:rFonts w:ascii="Arial" w:eastAsia="Arial" w:hAnsi="Arial" w:cs="Arial"/>
          <w:i/>
          <w:iCs/>
          <w:sz w:val="22"/>
          <w:szCs w:val="22"/>
          <w:u w:val="single"/>
        </w:rPr>
        <w:t xml:space="preserve">available to </w:t>
      </w:r>
      <w:r w:rsidRPr="00FC28B8">
        <w:rPr>
          <w:rFonts w:ascii="Arial" w:eastAsia="Arial" w:hAnsi="Arial" w:cs="Arial"/>
          <w:i/>
          <w:iCs/>
          <w:sz w:val="22"/>
          <w:szCs w:val="22"/>
          <w:u w:val="single"/>
        </w:rPr>
        <w:t xml:space="preserve">local housing authorities </w:t>
      </w:r>
    </w:p>
    <w:p w14:paraId="1E29C2DD" w14:textId="4F525413" w:rsidR="003A3679" w:rsidRDefault="004B7324" w:rsidP="00781BD4">
      <w:pPr>
        <w:pStyle w:val="Default"/>
        <w:rPr>
          <w:rFonts w:ascii="Arial" w:eastAsia="Arial" w:hAnsi="Arial" w:cs="Arial"/>
          <w:sz w:val="22"/>
          <w:szCs w:val="22"/>
          <w:u w:val="single"/>
        </w:rPr>
      </w:pPr>
      <w:r w:rsidRPr="00E07886">
        <w:rPr>
          <w:rFonts w:ascii="Arial" w:eastAsia="Arial" w:hAnsi="Arial" w:cs="Arial"/>
          <w:noProof/>
        </w:rPr>
        <mc:AlternateContent>
          <mc:Choice Requires="wpg">
            <w:drawing>
              <wp:anchor distT="0" distB="0" distL="114300" distR="114300" simplePos="0" relativeHeight="251658250" behindDoc="0" locked="0" layoutInCell="1" allowOverlap="1" wp14:anchorId="634DC14A" wp14:editId="39430C6F">
                <wp:simplePos x="0" y="0"/>
                <wp:positionH relativeFrom="margin">
                  <wp:posOffset>1805</wp:posOffset>
                </wp:positionH>
                <wp:positionV relativeFrom="paragraph">
                  <wp:posOffset>131077</wp:posOffset>
                </wp:positionV>
                <wp:extent cx="6370955" cy="3347720"/>
                <wp:effectExtent l="0" t="0" r="10795" b="24130"/>
                <wp:wrapNone/>
                <wp:docPr id="1" name="Group 1" descr="This diagram shows the homelessness funding streams available to local authorities. A large box at the top says HM treasury, which filters down into four smaller boxes: DLUHC DEL (HPG, ringfenced in 21/22), Local Government DEL (Local Government Settlement, un-ringfenced), DWP DEL (Discretionary Housing Payment, ringfenced), DWP AME (Housing Benefit TA subsidy). All four smaller then filter to a large box that says 'Local Authority'"/>
                <wp:cNvGraphicFramePr/>
                <a:graphic xmlns:a="http://schemas.openxmlformats.org/drawingml/2006/main">
                  <a:graphicData uri="http://schemas.microsoft.com/office/word/2010/wordprocessingGroup">
                    <wpg:wgp>
                      <wpg:cNvGrpSpPr/>
                      <wpg:grpSpPr>
                        <a:xfrm>
                          <a:off x="0" y="0"/>
                          <a:ext cx="6370955" cy="3347720"/>
                          <a:chOff x="0" y="-107959"/>
                          <a:chExt cx="5675406" cy="3492778"/>
                        </a:xfrm>
                      </wpg:grpSpPr>
                      <wps:wsp>
                        <wps:cNvPr id="3" name="Rectangle: Rounded Corners 3"/>
                        <wps:cNvSpPr/>
                        <wps:spPr>
                          <a:xfrm>
                            <a:off x="12012" y="3065024"/>
                            <a:ext cx="5663394" cy="3197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EC62EC" w14:textId="77777777" w:rsidR="00E07886" w:rsidRDefault="00E07886" w:rsidP="00E07886">
                              <w:pPr>
                                <w:jc w:val="center"/>
                                <w:rPr>
                                  <w:color w:val="FFFFFF"/>
                                  <w:kern w:val="24"/>
                                </w:rPr>
                              </w:pPr>
                              <w:r>
                                <w:rPr>
                                  <w:color w:val="FFFFFF"/>
                                  <w:kern w:val="24"/>
                                </w:rPr>
                                <w:t>Local Authority</w:t>
                              </w:r>
                            </w:p>
                          </w:txbxContent>
                        </wps:txbx>
                        <wps:bodyPr rtlCol="0" anchor="ctr"/>
                      </wps:wsp>
                      <wps:wsp>
                        <wps:cNvPr id="4" name="Rectangle: Rounded Corners 4"/>
                        <wps:cNvSpPr/>
                        <wps:spPr>
                          <a:xfrm>
                            <a:off x="0" y="-107959"/>
                            <a:ext cx="5663394" cy="36869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98D386" w14:textId="69001B69" w:rsidR="00E07886" w:rsidRPr="00E07886" w:rsidRDefault="00586437" w:rsidP="00E07886">
                              <w:pPr>
                                <w:jc w:val="center"/>
                                <w:rPr>
                                  <w:color w:val="FFFFFF"/>
                                  <w:kern w:val="24"/>
                                </w:rPr>
                              </w:pPr>
                              <w:r>
                                <w:rPr>
                                  <w:color w:val="FFFFFF"/>
                                  <w:kern w:val="24"/>
                                </w:rPr>
                                <w:t xml:space="preserve">HM </w:t>
                              </w:r>
                              <w:r w:rsidR="00E07886" w:rsidRPr="00E07886">
                                <w:rPr>
                                  <w:color w:val="FFFFFF"/>
                                  <w:kern w:val="24"/>
                                </w:rPr>
                                <w:t>Treasury</w:t>
                              </w:r>
                            </w:p>
                          </w:txbxContent>
                        </wps:txbx>
                        <wps:bodyPr rtlCol="0" anchor="ctr"/>
                      </wps:wsp>
                      <wps:wsp>
                        <wps:cNvPr id="7" name="Rectangle: Rounded Corners 7"/>
                        <wps:cNvSpPr/>
                        <wps:spPr>
                          <a:xfrm>
                            <a:off x="7351" y="1197130"/>
                            <a:ext cx="1300512" cy="93055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1B9663" w14:textId="6451ED85" w:rsidR="00E07886" w:rsidRPr="00D46746" w:rsidRDefault="00E07886" w:rsidP="00E07886">
                              <w:pPr>
                                <w:jc w:val="center"/>
                                <w:rPr>
                                  <w:color w:val="FFFFFF"/>
                                  <w:kern w:val="24"/>
                                  <w:sz w:val="22"/>
                                  <w:szCs w:val="22"/>
                                </w:rPr>
                              </w:pPr>
                              <w:r w:rsidRPr="00D46746">
                                <w:rPr>
                                  <w:color w:val="FFFFFF"/>
                                  <w:kern w:val="24"/>
                                  <w:sz w:val="22"/>
                                  <w:szCs w:val="22"/>
                                </w:rPr>
                                <w:t>Homelessness Prevention Grant (ringfenced</w:t>
                              </w:r>
                              <w:r w:rsidR="00FB1822">
                                <w:rPr>
                                  <w:color w:val="FFFFFF"/>
                                  <w:kern w:val="24"/>
                                  <w:sz w:val="22"/>
                                  <w:szCs w:val="22"/>
                                </w:rPr>
                                <w:t xml:space="preserve"> in 21/22</w:t>
                              </w:r>
                              <w:r w:rsidRPr="00D46746">
                                <w:rPr>
                                  <w:color w:val="FFFFFF"/>
                                  <w:kern w:val="24"/>
                                  <w:sz w:val="22"/>
                                  <w:szCs w:val="22"/>
                                </w:rPr>
                                <w:t>)</w:t>
                              </w:r>
                            </w:p>
                          </w:txbxContent>
                        </wps:txbx>
                        <wps:bodyPr rtlCol="0" anchor="ctr"/>
                      </wps:wsp>
                      <wps:wsp>
                        <wps:cNvPr id="8" name="Rectangle: Rounded Corners 8"/>
                        <wps:cNvSpPr/>
                        <wps:spPr>
                          <a:xfrm>
                            <a:off x="4357002" y="1213839"/>
                            <a:ext cx="1306786" cy="9108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E3BFD3" w14:textId="77777777" w:rsidR="00E07886" w:rsidRPr="00D46746" w:rsidRDefault="00E07886" w:rsidP="00E07886">
                              <w:pPr>
                                <w:jc w:val="center"/>
                                <w:rPr>
                                  <w:color w:val="FFFFFF"/>
                                  <w:kern w:val="24"/>
                                  <w:sz w:val="22"/>
                                  <w:szCs w:val="22"/>
                                </w:rPr>
                              </w:pPr>
                              <w:r w:rsidRPr="00D46746">
                                <w:rPr>
                                  <w:color w:val="FFFFFF"/>
                                  <w:kern w:val="24"/>
                                  <w:sz w:val="22"/>
                                  <w:szCs w:val="22"/>
                                </w:rPr>
                                <w:t>Housing Benefit TA subsidy</w:t>
                              </w:r>
                            </w:p>
                          </w:txbxContent>
                        </wps:txbx>
                        <wps:bodyPr rtlCol="0" anchor="ctr"/>
                      </wps:wsp>
                      <wps:wsp>
                        <wps:cNvPr id="12" name="Rectangle: Rounded Corners 12"/>
                        <wps:cNvSpPr/>
                        <wps:spPr>
                          <a:xfrm>
                            <a:off x="1453442" y="1228874"/>
                            <a:ext cx="1306796" cy="86189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867B77" w14:textId="6EDF3232" w:rsidR="00E07886" w:rsidRPr="00D65D1E" w:rsidRDefault="00E07886" w:rsidP="00E07886">
                              <w:pPr>
                                <w:jc w:val="center"/>
                                <w:rPr>
                                  <w:color w:val="FFFFFF"/>
                                  <w:kern w:val="24"/>
                                  <w:sz w:val="22"/>
                                  <w:szCs w:val="22"/>
                                </w:rPr>
                              </w:pPr>
                              <w:r w:rsidRPr="00D65D1E">
                                <w:rPr>
                                  <w:color w:val="FFFFFF"/>
                                  <w:kern w:val="24"/>
                                  <w:sz w:val="22"/>
                                  <w:szCs w:val="22"/>
                                </w:rPr>
                                <w:t>Local Govt Settlement (</w:t>
                              </w:r>
                              <w:r w:rsidR="00D46746" w:rsidRPr="00D65D1E">
                                <w:rPr>
                                  <w:color w:val="FFFFFF"/>
                                  <w:kern w:val="24"/>
                                  <w:sz w:val="22"/>
                                  <w:szCs w:val="22"/>
                                </w:rPr>
                                <w:t>non-</w:t>
                              </w:r>
                              <w:r w:rsidRPr="00D65D1E">
                                <w:rPr>
                                  <w:color w:val="FFFFFF"/>
                                  <w:kern w:val="24"/>
                                  <w:sz w:val="22"/>
                                  <w:szCs w:val="22"/>
                                </w:rPr>
                                <w:t>ringfenced)</w:t>
                              </w:r>
                            </w:p>
                          </w:txbxContent>
                        </wps:txbx>
                        <wps:bodyPr rtlCol="0" anchor="ctr"/>
                      </wps:wsp>
                      <wps:wsp>
                        <wps:cNvPr id="13" name="Rectangle: Rounded Corners 13"/>
                        <wps:cNvSpPr/>
                        <wps:spPr>
                          <a:xfrm>
                            <a:off x="1" y="587824"/>
                            <a:ext cx="1315212" cy="3603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8E002" w14:textId="77777777" w:rsidR="00E07886" w:rsidRDefault="00E07886" w:rsidP="00E07886">
                              <w:pPr>
                                <w:jc w:val="center"/>
                                <w:rPr>
                                  <w:color w:val="FFFFFF"/>
                                  <w:kern w:val="24"/>
                                </w:rPr>
                              </w:pPr>
                              <w:r>
                                <w:rPr>
                                  <w:color w:val="FFFFFF"/>
                                  <w:kern w:val="24"/>
                                </w:rPr>
                                <w:t>DLUHC DEL</w:t>
                              </w:r>
                            </w:p>
                          </w:txbxContent>
                        </wps:txbx>
                        <wps:bodyPr lIns="91440" tIns="45720" rIns="91440" bIns="45720" rtlCol="0" anchor="ctr"/>
                      </wps:wsp>
                      <wps:wsp>
                        <wps:cNvPr id="14" name="Rectangle: Rounded Corners 14"/>
                        <wps:cNvSpPr/>
                        <wps:spPr>
                          <a:xfrm>
                            <a:off x="1449235" y="587310"/>
                            <a:ext cx="1315212" cy="36102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AD8D6A" w14:textId="77DED6DE" w:rsidR="00E07886" w:rsidRDefault="00E07886" w:rsidP="00E07886">
                              <w:pPr>
                                <w:jc w:val="center"/>
                                <w:rPr>
                                  <w:color w:val="FFFFFF"/>
                                  <w:kern w:val="24"/>
                                </w:rPr>
                              </w:pPr>
                              <w:r>
                                <w:rPr>
                                  <w:color w:val="FFFFFF"/>
                                  <w:kern w:val="24"/>
                                </w:rPr>
                                <w:t>L</w:t>
                              </w:r>
                              <w:r w:rsidR="008515C9">
                                <w:rPr>
                                  <w:color w:val="FFFFFF"/>
                                  <w:kern w:val="24"/>
                                </w:rPr>
                                <w:t xml:space="preserve">ocal </w:t>
                              </w:r>
                              <w:r>
                                <w:rPr>
                                  <w:color w:val="FFFFFF"/>
                                  <w:kern w:val="24"/>
                                </w:rPr>
                                <w:t>G</w:t>
                              </w:r>
                              <w:r w:rsidR="008515C9">
                                <w:rPr>
                                  <w:color w:val="FFFFFF"/>
                                  <w:kern w:val="24"/>
                                </w:rPr>
                                <w:t>ovt</w:t>
                              </w:r>
                              <w:r>
                                <w:rPr>
                                  <w:color w:val="FFFFFF"/>
                                  <w:kern w:val="24"/>
                                </w:rPr>
                                <w:t xml:space="preserve"> DEL</w:t>
                              </w:r>
                            </w:p>
                          </w:txbxContent>
                        </wps:txbx>
                        <wps:bodyPr rtlCol="0" anchor="ctr"/>
                      </wps:wsp>
                      <wps:wsp>
                        <wps:cNvPr id="16" name="Rectangle: Rounded Corners 16"/>
                        <wps:cNvSpPr/>
                        <wps:spPr>
                          <a:xfrm>
                            <a:off x="4348575" y="587823"/>
                            <a:ext cx="1315212" cy="3601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5594E2" w14:textId="77777777" w:rsidR="00E07886" w:rsidRDefault="00E07886" w:rsidP="00E07886">
                              <w:pPr>
                                <w:jc w:val="center"/>
                                <w:rPr>
                                  <w:color w:val="FFFFFF"/>
                                  <w:kern w:val="24"/>
                                </w:rPr>
                              </w:pPr>
                              <w:r>
                                <w:rPr>
                                  <w:color w:val="FFFFFF"/>
                                  <w:kern w:val="24"/>
                                </w:rPr>
                                <w:t>DWP AME</w:t>
                              </w:r>
                            </w:p>
                          </w:txbxContent>
                        </wps:txbx>
                        <wps:bodyPr rtlCol="0" anchor="ctr"/>
                      </wps:wsp>
                      <wps:wsp>
                        <wps:cNvPr id="17" name="Straight Arrow Connector 17"/>
                        <wps:cNvCnPr>
                          <a:cxnSpLocks/>
                        </wps:cNvCnPr>
                        <wps:spPr>
                          <a:xfrm>
                            <a:off x="657607" y="301418"/>
                            <a:ext cx="0" cy="20711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18" name="Straight Arrow Connector 18"/>
                        <wps:cNvCnPr>
                          <a:cxnSpLocks/>
                        </wps:cNvCnPr>
                        <wps:spPr>
                          <a:xfrm>
                            <a:off x="3556401" y="301418"/>
                            <a:ext cx="0" cy="20711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19" name="Straight Arrow Connector 19"/>
                        <wps:cNvCnPr>
                          <a:cxnSpLocks/>
                        </wps:cNvCnPr>
                        <wps:spPr>
                          <a:xfrm>
                            <a:off x="5005799" y="301418"/>
                            <a:ext cx="0" cy="20711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20" name="Rectangle: Rounded Corners 20"/>
                        <wps:cNvSpPr/>
                        <wps:spPr>
                          <a:xfrm>
                            <a:off x="2905819" y="597168"/>
                            <a:ext cx="1315211" cy="3310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CAD00E" w14:textId="77777777" w:rsidR="00E07886" w:rsidRDefault="00E07886" w:rsidP="00E07886">
                              <w:pPr>
                                <w:jc w:val="center"/>
                                <w:rPr>
                                  <w:color w:val="FFFFFF"/>
                                  <w:kern w:val="24"/>
                                </w:rPr>
                              </w:pPr>
                              <w:r>
                                <w:rPr>
                                  <w:color w:val="FFFFFF"/>
                                  <w:kern w:val="24"/>
                                </w:rPr>
                                <w:t>DWP DEL</w:t>
                              </w:r>
                            </w:p>
                          </w:txbxContent>
                        </wps:txbx>
                        <wps:bodyPr rtlCol="0" anchor="ctr"/>
                      </wps:wsp>
                      <wps:wsp>
                        <wps:cNvPr id="21" name="Rectangle: Rounded Corners 21"/>
                        <wps:cNvSpPr/>
                        <wps:spPr>
                          <a:xfrm>
                            <a:off x="2909820" y="1229096"/>
                            <a:ext cx="1306786" cy="8784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46A791" w14:textId="55160497" w:rsidR="00E07886" w:rsidRPr="000D769D" w:rsidRDefault="00E07886" w:rsidP="00E07886">
                              <w:pPr>
                                <w:jc w:val="center"/>
                                <w:rPr>
                                  <w:color w:val="FFFFFF"/>
                                  <w:kern w:val="24"/>
                                  <w:sz w:val="20"/>
                                  <w:szCs w:val="20"/>
                                </w:rPr>
                              </w:pPr>
                              <w:r w:rsidRPr="000D769D">
                                <w:rPr>
                                  <w:color w:val="FFFFFF"/>
                                  <w:kern w:val="24"/>
                                  <w:sz w:val="20"/>
                                  <w:szCs w:val="20"/>
                                </w:rPr>
                                <w:t>Discretionary Housing Payment (ringfenced, statutory criteria)</w:t>
                              </w:r>
                            </w:p>
                          </w:txbxContent>
                        </wps:txbx>
                        <wps:bodyPr rtlCol="0" anchor="ctr"/>
                      </wps:wsp>
                      <wps:wsp>
                        <wps:cNvPr id="22" name="Straight Arrow Connector 22"/>
                        <wps:cNvCnPr>
                          <a:cxnSpLocks/>
                        </wps:cNvCnPr>
                        <wps:spPr>
                          <a:xfrm>
                            <a:off x="2106840" y="301418"/>
                            <a:ext cx="0" cy="20711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23" name="Straight Arrow Connector 23"/>
                        <wps:cNvCnPr>
                          <a:cxnSpLocks/>
                        </wps:cNvCnPr>
                        <wps:spPr>
                          <a:xfrm>
                            <a:off x="5005799" y="990228"/>
                            <a:ext cx="0" cy="20711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24" name="Straight Arrow Connector 24"/>
                        <wps:cNvCnPr>
                          <a:cxnSpLocks/>
                        </wps:cNvCnPr>
                        <wps:spPr>
                          <a:xfrm>
                            <a:off x="3556401" y="990228"/>
                            <a:ext cx="0" cy="20711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25" name="Straight Arrow Connector 25"/>
                        <wps:cNvCnPr>
                          <a:cxnSpLocks/>
                        </wps:cNvCnPr>
                        <wps:spPr>
                          <a:xfrm>
                            <a:off x="2106840" y="990228"/>
                            <a:ext cx="0" cy="20711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26" name="Straight Arrow Connector 26"/>
                        <wps:cNvCnPr>
                          <a:cxnSpLocks/>
                        </wps:cNvCnPr>
                        <wps:spPr>
                          <a:xfrm>
                            <a:off x="657607" y="990228"/>
                            <a:ext cx="0" cy="20711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27" name="Straight Arrow Connector 27"/>
                        <wps:cNvCnPr>
                          <a:cxnSpLocks/>
                        </wps:cNvCnPr>
                        <wps:spPr>
                          <a:xfrm>
                            <a:off x="4991723" y="2124698"/>
                            <a:ext cx="0" cy="20711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28" name="Straight Arrow Connector 28"/>
                        <wps:cNvCnPr>
                          <a:cxnSpLocks/>
                        </wps:cNvCnPr>
                        <wps:spPr>
                          <a:xfrm>
                            <a:off x="3548443" y="2124698"/>
                            <a:ext cx="0" cy="20711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29" name="Straight Arrow Connector 29"/>
                        <wps:cNvCnPr>
                          <a:cxnSpLocks/>
                        </wps:cNvCnPr>
                        <wps:spPr>
                          <a:xfrm>
                            <a:off x="2082667" y="2124698"/>
                            <a:ext cx="0" cy="20711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30" name="Straight Arrow Connector 30"/>
                        <wps:cNvCnPr>
                          <a:cxnSpLocks/>
                        </wps:cNvCnPr>
                        <wps:spPr>
                          <a:xfrm>
                            <a:off x="647408" y="2124698"/>
                            <a:ext cx="0" cy="20711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wps:wsp>
                        <wps:cNvPr id="31" name="Straight Arrow Connector 31"/>
                        <wps:cNvCnPr>
                          <a:cxnSpLocks/>
                        </wps:cNvCnPr>
                        <wps:spPr>
                          <a:xfrm>
                            <a:off x="648476" y="2124698"/>
                            <a:ext cx="22182" cy="923393"/>
                          </a:xfrm>
                          <a:prstGeom prst="straightConnector1">
                            <a:avLst/>
                          </a:prstGeom>
                          <a:ln w="19050" cap="flat" cmpd="sng" algn="ctr">
                            <a:solidFill>
                              <a:schemeClr val="accent2"/>
                            </a:solidFill>
                            <a:prstDash val="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32" name="Straight Arrow Connector 32"/>
                        <wps:cNvCnPr>
                          <a:cxnSpLocks/>
                        </wps:cNvCnPr>
                        <wps:spPr>
                          <a:xfrm>
                            <a:off x="4979471" y="2158057"/>
                            <a:ext cx="13164" cy="890030"/>
                          </a:xfrm>
                          <a:prstGeom prst="straightConnector1">
                            <a:avLst/>
                          </a:prstGeom>
                          <a:ln w="19050" cap="flat" cmpd="sng" algn="ctr">
                            <a:solidFill>
                              <a:schemeClr val="accent2"/>
                            </a:solidFill>
                            <a:prstDash val="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33" name="Straight Arrow Connector 33"/>
                        <wps:cNvCnPr>
                          <a:cxnSpLocks/>
                        </wps:cNvCnPr>
                        <wps:spPr>
                          <a:xfrm>
                            <a:off x="3548592" y="2169244"/>
                            <a:ext cx="7809" cy="889624"/>
                          </a:xfrm>
                          <a:prstGeom prst="straightConnector1">
                            <a:avLst/>
                          </a:prstGeom>
                          <a:ln w="19050" cap="flat" cmpd="sng" algn="ctr">
                            <a:solidFill>
                              <a:schemeClr val="accent2"/>
                            </a:solidFill>
                            <a:prstDash val="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34" name="Straight Arrow Connector 34"/>
                        <wps:cNvCnPr>
                          <a:cxnSpLocks/>
                        </wps:cNvCnPr>
                        <wps:spPr>
                          <a:xfrm>
                            <a:off x="2074414" y="2197977"/>
                            <a:ext cx="8253" cy="850109"/>
                          </a:xfrm>
                          <a:prstGeom prst="straightConnector1">
                            <a:avLst/>
                          </a:prstGeom>
                          <a:ln w="19050" cap="flat" cmpd="sng" algn="ctr">
                            <a:solidFill>
                              <a:schemeClr val="accent2"/>
                            </a:solidFill>
                            <a:prstDash val="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34DC14A" id="Group 1" o:spid="_x0000_s1034" alt="This diagram shows the homelessness funding streams available to local authorities. A large box at the top says HM treasury, which filters down into four smaller boxes: DLUHC DEL (HPG, ringfenced in 21/22), Local Government DEL (Local Government Settlement, un-ringfenced), DWP DEL (Discretionary Housing Payment, ringfenced), DWP AME (Housing Benefit TA subsidy). All four smaller then filter to a large box that says 'Local Authority'" style="position:absolute;margin-left:.15pt;margin-top:10.3pt;width:501.65pt;height:263.6pt;z-index:251658250;mso-position-horizontal-relative:margin;mso-width-relative:margin;mso-height-relative:margin" coordorigin=",-1079" coordsize="56754,3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">
                <v:roundrect id="Rectangle: Rounded Corners 3" o:spid="_x0000_s1035" style="position:absolute;left:120;top:30650;width:56634;height:3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" fillcolor="#4f81bd [3204]" strokecolor="#243f60 [1604]" strokeweight="2pt">
                  <v:textbox>
                    <w:txbxContent>
                      <w:p w14:paraId="57EC62EC" w14:textId="77777777" w:rsidR="00E07886" w:rsidRDefault="00E07886" w:rsidP="00E07886">
                        <w:pPr>
                          <w:jc w:val="center"/>
                          <w:rPr>
                            <w:color w:val="FFFFFF"/>
                            <w:kern w:val="24"/>
                          </w:rPr>
                        </w:pPr>
                        <w:r>
                          <w:rPr>
                            <w:color w:val="FFFFFF"/>
                            <w:kern w:val="24"/>
                          </w:rPr>
                          <w:t>Local Authority</w:t>
                        </w:r>
                      </w:p>
                    </w:txbxContent>
                  </v:textbox>
                </v:roundrect>
                <v:roundrect id="Rectangle: Rounded Corners 4" o:spid="_x0000_s1036" style="position:absolute;top:-1079;width:56633;height:36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" fillcolor="#4f81bd [3204]" strokecolor="#243f60 [1604]" strokeweight="2pt">
                  <v:textbox>
                    <w:txbxContent>
                      <w:p w14:paraId="4D98D386" w14:textId="69001B69" w:rsidR="00E07886" w:rsidRPr="00E07886" w:rsidRDefault="00586437" w:rsidP="00E07886">
                        <w:pPr>
                          <w:jc w:val="center"/>
                          <w:rPr>
                            <w:color w:val="FFFFFF"/>
                            <w:kern w:val="24"/>
                          </w:rPr>
                        </w:pPr>
                        <w:r>
                          <w:rPr>
                            <w:color w:val="FFFFFF"/>
                            <w:kern w:val="24"/>
                          </w:rPr>
                          <w:t xml:space="preserve">HM </w:t>
                        </w:r>
                        <w:r w:rsidR="00E07886" w:rsidRPr="00E07886">
                          <w:rPr>
                            <w:color w:val="FFFFFF"/>
                            <w:kern w:val="24"/>
                          </w:rPr>
                          <w:t>Treasury</w:t>
                        </w:r>
                      </w:p>
                    </w:txbxContent>
                  </v:textbox>
                </v:roundrect>
                <v:roundrect id="Rectangle: Rounded Corners 7" o:spid="_x0000_s1037" style="position:absolute;left:73;top:11971;width:13005;height:93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" fillcolor="#4f81bd [3204]" strokecolor="#243f60 [1604]" strokeweight="2pt">
                  <v:textbox>
                    <w:txbxContent>
                      <w:p w14:paraId="081B9663" w14:textId="6451ED85" w:rsidR="00E07886" w:rsidRPr="00D46746" w:rsidRDefault="00E07886" w:rsidP="00E07886">
                        <w:pPr>
                          <w:jc w:val="center"/>
                          <w:rPr>
                            <w:color w:val="FFFFFF"/>
                            <w:kern w:val="24"/>
                            <w:sz w:val="22"/>
                            <w:szCs w:val="22"/>
                          </w:rPr>
                        </w:pPr>
                        <w:r w:rsidRPr="00D46746">
                          <w:rPr>
                            <w:color w:val="FFFFFF"/>
                            <w:kern w:val="24"/>
                            <w:sz w:val="22"/>
                            <w:szCs w:val="22"/>
                          </w:rPr>
                          <w:t>Homelessness Prevention Grant (ringfenced</w:t>
                        </w:r>
                        <w:r w:rsidR="00FB1822">
                          <w:rPr>
                            <w:color w:val="FFFFFF"/>
                            <w:kern w:val="24"/>
                            <w:sz w:val="22"/>
                            <w:szCs w:val="22"/>
                          </w:rPr>
                          <w:t xml:space="preserve"> in 21/22</w:t>
                        </w:r>
                        <w:r w:rsidRPr="00D46746">
                          <w:rPr>
                            <w:color w:val="FFFFFF"/>
                            <w:kern w:val="24"/>
                            <w:sz w:val="22"/>
                            <w:szCs w:val="22"/>
                          </w:rPr>
                          <w:t>)</w:t>
                        </w:r>
                      </w:p>
                    </w:txbxContent>
                  </v:textbox>
                </v:roundrect>
                <v:roundrect id="Rectangle: Rounded Corners 8" o:spid="_x0000_s1038" style="position:absolute;left:43570;top:12138;width:13067;height:91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" fillcolor="#4f81bd [3204]" strokecolor="#243f60 [1604]" strokeweight="2pt">
                  <v:textbox>
                    <w:txbxContent>
                      <w:p w14:paraId="30E3BFD3" w14:textId="77777777" w:rsidR="00E07886" w:rsidRPr="00D46746" w:rsidRDefault="00E07886" w:rsidP="00E07886">
                        <w:pPr>
                          <w:jc w:val="center"/>
                          <w:rPr>
                            <w:color w:val="FFFFFF"/>
                            <w:kern w:val="24"/>
                            <w:sz w:val="22"/>
                            <w:szCs w:val="22"/>
                          </w:rPr>
                        </w:pPr>
                        <w:r w:rsidRPr="00D46746">
                          <w:rPr>
                            <w:color w:val="FFFFFF"/>
                            <w:kern w:val="24"/>
                            <w:sz w:val="22"/>
                            <w:szCs w:val="22"/>
                          </w:rPr>
                          <w:t>Housing Benefit TA subsidy</w:t>
                        </w:r>
                      </w:p>
                    </w:txbxContent>
                  </v:textbox>
                </v:roundrect>
                <v:roundrect id="Rectangle: Rounded Corners 12" o:spid="_x0000_s1039" style="position:absolute;left:14534;top:12288;width:13068;height:8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" fillcolor="#4f81bd [3204]" strokecolor="#243f60 [1604]" strokeweight="2pt">
                  <v:textbox>
                    <w:txbxContent>
                      <w:p w14:paraId="1C867B77" w14:textId="6EDF3232" w:rsidR="00E07886" w:rsidRPr="00D65D1E" w:rsidRDefault="00E07886" w:rsidP="00E07886">
                        <w:pPr>
                          <w:jc w:val="center"/>
                          <w:rPr>
                            <w:color w:val="FFFFFF"/>
                            <w:kern w:val="24"/>
                            <w:sz w:val="22"/>
                            <w:szCs w:val="22"/>
                          </w:rPr>
                        </w:pPr>
                        <w:r w:rsidRPr="00D65D1E">
                          <w:rPr>
                            <w:color w:val="FFFFFF"/>
                            <w:kern w:val="24"/>
                            <w:sz w:val="22"/>
                            <w:szCs w:val="22"/>
                          </w:rPr>
                          <w:t>Local Govt Settlement (</w:t>
                        </w:r>
                        <w:r w:rsidR="00D46746" w:rsidRPr="00D65D1E">
                          <w:rPr>
                            <w:color w:val="FFFFFF"/>
                            <w:kern w:val="24"/>
                            <w:sz w:val="22"/>
                            <w:szCs w:val="22"/>
                          </w:rPr>
                          <w:t>non-</w:t>
                        </w:r>
                        <w:r w:rsidRPr="00D65D1E">
                          <w:rPr>
                            <w:color w:val="FFFFFF"/>
                            <w:kern w:val="24"/>
                            <w:sz w:val="22"/>
                            <w:szCs w:val="22"/>
                          </w:rPr>
                          <w:t>ringfenced)</w:t>
                        </w:r>
                      </w:p>
                    </w:txbxContent>
                  </v:textbox>
                </v:roundrect>
                <v:roundrect id="Rectangle: Rounded Corners 13" o:spid="_x0000_s1040" style="position:absolute;top:5878;width:13152;height:36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" fillcolor="#4f81bd [3204]" strokecolor="#243f60 [1604]" strokeweight="2pt">
                  <v:textbox>
                    <w:txbxContent>
                      <w:p w14:paraId="71E8E002" w14:textId="77777777" w:rsidR="00E07886" w:rsidRDefault="00E07886" w:rsidP="00E07886">
                        <w:pPr>
                          <w:jc w:val="center"/>
                          <w:rPr>
                            <w:color w:val="FFFFFF"/>
                            <w:kern w:val="24"/>
                          </w:rPr>
                        </w:pPr>
                        <w:r>
                          <w:rPr>
                            <w:color w:val="FFFFFF"/>
                            <w:kern w:val="24"/>
                          </w:rPr>
                          <w:t>DLUHC DEL</w:t>
                        </w:r>
                      </w:p>
                    </w:txbxContent>
                  </v:textbox>
                </v:roundrect>
                <v:roundrect id="Rectangle: Rounded Corners 14" o:spid="_x0000_s1041" style="position:absolute;left:14492;top:5873;width:13152;height:36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" fillcolor="#4f81bd [3204]" strokecolor="#243f60 [1604]" strokeweight="2pt">
                  <v:textbox>
                    <w:txbxContent>
                      <w:p w14:paraId="63AD8D6A" w14:textId="77DED6DE" w:rsidR="00E07886" w:rsidRDefault="00E07886" w:rsidP="00E07886">
                        <w:pPr>
                          <w:jc w:val="center"/>
                          <w:rPr>
                            <w:color w:val="FFFFFF"/>
                            <w:kern w:val="24"/>
                          </w:rPr>
                        </w:pPr>
                        <w:r>
                          <w:rPr>
                            <w:color w:val="FFFFFF"/>
                            <w:kern w:val="24"/>
                          </w:rPr>
                          <w:t>L</w:t>
                        </w:r>
                        <w:r w:rsidR="008515C9">
                          <w:rPr>
                            <w:color w:val="FFFFFF"/>
                            <w:kern w:val="24"/>
                          </w:rPr>
                          <w:t xml:space="preserve">ocal </w:t>
                        </w:r>
                        <w:r>
                          <w:rPr>
                            <w:color w:val="FFFFFF"/>
                            <w:kern w:val="24"/>
                          </w:rPr>
                          <w:t>G</w:t>
                        </w:r>
                        <w:r w:rsidR="008515C9">
                          <w:rPr>
                            <w:color w:val="FFFFFF"/>
                            <w:kern w:val="24"/>
                          </w:rPr>
                          <w:t>ovt</w:t>
                        </w:r>
                        <w:r>
                          <w:rPr>
                            <w:color w:val="FFFFFF"/>
                            <w:kern w:val="24"/>
                          </w:rPr>
                          <w:t xml:space="preserve"> DEL</w:t>
                        </w:r>
                      </w:p>
                    </w:txbxContent>
                  </v:textbox>
                </v:roundrect>
                <v:roundrect id="Rectangle: Rounded Corners 16" o:spid="_x0000_s1042" style="position:absolute;left:43485;top:5878;width:13152;height:36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" fillcolor="#4f81bd [3204]" strokecolor="#243f60 [1604]" strokeweight="2pt">
                  <v:textbox>
                    <w:txbxContent>
                      <w:p w14:paraId="545594E2" w14:textId="77777777" w:rsidR="00E07886" w:rsidRDefault="00E07886" w:rsidP="00E07886">
                        <w:pPr>
                          <w:jc w:val="center"/>
                          <w:rPr>
                            <w:color w:val="FFFFFF"/>
                            <w:kern w:val="24"/>
                          </w:rPr>
                        </w:pPr>
                        <w:r>
                          <w:rPr>
                            <w:color w:val="FFFFFF"/>
                            <w:kern w:val="24"/>
                          </w:rPr>
                          <w:t>DWP AME</w:t>
                        </w:r>
                      </w:p>
                    </w:txbxContent>
                  </v:textbox>
                </v:roundrect>
                <v:shapetype id="_x0000_t32" coordsize="21600,21600" o:spt="32" o:oned="t" path="m,l21600,21600e" filled="f">
                  <v:path arrowok="t" fillok="f" o:connecttype="none"/>
                  <o:lock v:ext="edit" shapetype="t"/>
                </v:shapetype>
                <v:shape id="Straight Arrow Connector 17" o:spid="_x0000_s1043" type="#_x0000_t32" style="position:absolute;left:6576;top:3014;width:0;height:2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" strokecolor="#bc4542 [3045]" strokeweight="2.25pt">
                  <v:stroke endarrow="block"/>
                  <o:lock v:ext="edit" shapetype="f"/>
                </v:shape>
                <v:shape id="Straight Arrow Connector 18" o:spid="_x0000_s1044" type="#_x0000_t32" style="position:absolute;left:35564;top:3014;width:0;height:2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" strokecolor="#bc4542 [3045]" strokeweight="2.25pt">
                  <v:stroke endarrow="block"/>
                  <o:lock v:ext="edit" shapetype="f"/>
                </v:shape>
                <v:shape id="Straight Arrow Connector 19" o:spid="_x0000_s1045" type="#_x0000_t32" style="position:absolute;left:50057;top:3014;width:0;height:2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" strokecolor="#bc4542 [3045]" strokeweight="2.25pt">
                  <v:stroke endarrow="block"/>
                  <o:lock v:ext="edit" shapetype="f"/>
                </v:shape>
                <v:roundrect id="Rectangle: Rounded Corners 20" o:spid="_x0000_s1046" style="position:absolute;left:29058;top:5971;width:13152;height:33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" fillcolor="#4f81bd [3204]" strokecolor="#243f60 [1604]" strokeweight="2pt">
                  <v:textbox>
                    <w:txbxContent>
                      <w:p w14:paraId="3FCAD00E" w14:textId="77777777" w:rsidR="00E07886" w:rsidRDefault="00E07886" w:rsidP="00E07886">
                        <w:pPr>
                          <w:jc w:val="center"/>
                          <w:rPr>
                            <w:color w:val="FFFFFF"/>
                            <w:kern w:val="24"/>
                          </w:rPr>
                        </w:pPr>
                        <w:r>
                          <w:rPr>
                            <w:color w:val="FFFFFF"/>
                            <w:kern w:val="24"/>
                          </w:rPr>
                          <w:t>DWP DEL</w:t>
                        </w:r>
                      </w:p>
                    </w:txbxContent>
                  </v:textbox>
                </v:roundrect>
                <v:roundrect id="Rectangle: Rounded Corners 21" o:spid="_x0000_s1047" style="position:absolute;left:29098;top:12290;width:13068;height:8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" fillcolor="#4f81bd [3204]" strokecolor="#243f60 [1604]" strokeweight="2pt">
                  <v:textbox>
                    <w:txbxContent>
                      <w:p w14:paraId="2746A791" w14:textId="55160497" w:rsidR="00E07886" w:rsidRPr="000D769D" w:rsidRDefault="00E07886" w:rsidP="00E07886">
                        <w:pPr>
                          <w:jc w:val="center"/>
                          <w:rPr>
                            <w:color w:val="FFFFFF"/>
                            <w:kern w:val="24"/>
                            <w:sz w:val="20"/>
                            <w:szCs w:val="20"/>
                          </w:rPr>
                        </w:pPr>
                        <w:r w:rsidRPr="000D769D">
                          <w:rPr>
                            <w:color w:val="FFFFFF"/>
                            <w:kern w:val="24"/>
                            <w:sz w:val="20"/>
                            <w:szCs w:val="20"/>
                          </w:rPr>
                          <w:t>Discretionary Housing Payment (ringfenced, statutory criteria)</w:t>
                        </w:r>
                      </w:p>
                    </w:txbxContent>
                  </v:textbox>
                </v:roundrect>
                <v:shape id="Straight Arrow Connector 22" o:spid="_x0000_s1048" type="#_x0000_t32" style="position:absolute;left:21068;top:3014;width:0;height:2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" strokecolor="#bc4542 [3045]" strokeweight="2.25pt">
                  <v:stroke endarrow="block"/>
                  <o:lock v:ext="edit" shapetype="f"/>
                </v:shape>
                <v:shape id="Straight Arrow Connector 23" o:spid="_x0000_s1049" type="#_x0000_t32" style="position:absolute;left:50057;top:9902;width:0;height:2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" strokecolor="#bc4542 [3045]" strokeweight="2.25pt">
                  <v:stroke endarrow="block"/>
                  <o:lock v:ext="edit" shapetype="f"/>
                </v:shape>
                <v:shape id="Straight Arrow Connector 24" o:spid="_x0000_s1050" type="#_x0000_t32" style="position:absolute;left:35564;top:9902;width:0;height:2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" strokecolor="#bc4542 [3045]" strokeweight="2.25pt">
                  <v:stroke endarrow="block"/>
                  <o:lock v:ext="edit" shapetype="f"/>
                </v:shape>
                <v:shape id="Straight Arrow Connector 25" o:spid="_x0000_s1051" type="#_x0000_t32" style="position:absolute;left:21068;top:9902;width:0;height:2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" strokecolor="#bc4542 [3045]" strokeweight="2.25pt">
                  <v:stroke endarrow="block"/>
                  <o:lock v:ext="edit" shapetype="f"/>
                </v:shape>
                <v:shape id="Straight Arrow Connector 26" o:spid="_x0000_s1052" type="#_x0000_t32" style="position:absolute;left:6576;top:9902;width:0;height:2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" strokecolor="#bc4542 [3045]" strokeweight="2.25pt">
                  <v:stroke endarrow="block"/>
                  <o:lock v:ext="edit" shapetype="f"/>
                </v:shape>
                <v:shape id="Straight Arrow Connector 27" o:spid="_x0000_s1053" type="#_x0000_t32" style="position:absolute;left:49917;top:21246;width:0;height:20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" strokecolor="#bc4542 [3045]" strokeweight="2.25pt">
                  <v:stroke endarrow="block"/>
                  <o:lock v:ext="edit" shapetype="f"/>
                </v:shape>
                <v:shape id="Straight Arrow Connector 28" o:spid="_x0000_s1054" type="#_x0000_t32" style="position:absolute;left:35484;top:21246;width:0;height:20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" strokecolor="#bc4542 [3045]" strokeweight="2.25pt">
                  <v:stroke endarrow="block"/>
                  <o:lock v:ext="edit" shapetype="f"/>
                </v:shape>
                <v:shape id="Straight Arrow Connector 29" o:spid="_x0000_s1055" type="#_x0000_t32" style="position:absolute;left:20826;top:21246;width:0;height:20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" strokecolor="#bc4542 [3045]" strokeweight="2.25pt">
                  <v:stroke endarrow="block"/>
                  <o:lock v:ext="edit" shapetype="f"/>
                </v:shape>
                <v:shape id="Straight Arrow Connector 30" o:spid="_x0000_s1056" type="#_x0000_t32" style="position:absolute;left:6474;top:21246;width:0;height:20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" strokecolor="#bc4542 [3045]" strokeweight="2.25pt">
                  <v:stroke endarrow="block"/>
                  <o:lock v:ext="edit" shapetype="f"/>
                </v:shape>
                <v:shape id="Straight Arrow Connector 31" o:spid="_x0000_s1057" type="#_x0000_t32" style="position:absolute;left:6484;top:21246;width:222;height:9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" strokecolor="#c0504d [3205]" strokeweight="1.5pt">
                  <v:stroke dashstyle="dash" endarrow="open"/>
                  <o:lock v:ext="edit" shapetype="f"/>
                </v:shape>
                <v:shape id="Straight Arrow Connector 32" o:spid="_x0000_s1058" type="#_x0000_t32" style="position:absolute;left:49794;top:21580;width:132;height:8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" strokecolor="#c0504d [3205]" strokeweight="1.5pt">
                  <v:stroke dashstyle="dash" endarrow="open"/>
                  <o:lock v:ext="edit" shapetype="f"/>
                </v:shape>
                <v:shape id="Straight Arrow Connector 33" o:spid="_x0000_s1059" type="#_x0000_t32" style="position:absolute;left:35485;top:21692;width:79;height:8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" strokecolor="#c0504d [3205]" strokeweight="1.5pt">
                  <v:stroke dashstyle="dash" endarrow="open"/>
                  <o:lock v:ext="edit" shapetype="f"/>
                </v:shape>
                <v:shape id="Straight Arrow Connector 34" o:spid="_x0000_s1060" type="#_x0000_t32" style="position:absolute;left:20744;top:21979;width:82;height:85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" strokecolor="#c0504d [3205]" strokeweight="1.5pt">
                  <v:stroke dashstyle="dash" endarrow="open"/>
                  <o:lock v:ext="edit" shapetype="f"/>
                </v:shape>
                <w10:wrap anchorx="margin"/>
              </v:group>
            </w:pict>
          </mc:Fallback>
        </mc:AlternateContent>
      </w:r>
    </w:p>
    <w:p w14:paraId="2B2DA6BA" w14:textId="6CA74D34" w:rsidR="004B7324" w:rsidRDefault="004B7324" w:rsidP="00781BD4">
      <w:pPr>
        <w:pStyle w:val="Default"/>
        <w:rPr>
          <w:rFonts w:ascii="Arial" w:eastAsia="Arial" w:hAnsi="Arial" w:cs="Arial"/>
          <w:sz w:val="22"/>
          <w:szCs w:val="22"/>
          <w:u w:val="single"/>
        </w:rPr>
      </w:pPr>
    </w:p>
    <w:p w14:paraId="75CC3AF5" w14:textId="44F81D88" w:rsidR="004B7324" w:rsidRDefault="004B7324" w:rsidP="00781BD4">
      <w:pPr>
        <w:pStyle w:val="Default"/>
        <w:rPr>
          <w:rFonts w:ascii="Arial" w:eastAsia="Arial" w:hAnsi="Arial" w:cs="Arial"/>
          <w:sz w:val="22"/>
          <w:szCs w:val="22"/>
          <w:u w:val="single"/>
        </w:rPr>
      </w:pPr>
    </w:p>
    <w:p w14:paraId="63B9B332" w14:textId="661C60E0" w:rsidR="004B7324" w:rsidRDefault="004B7324" w:rsidP="00781BD4">
      <w:pPr>
        <w:pStyle w:val="Default"/>
        <w:rPr>
          <w:rFonts w:ascii="Arial" w:eastAsia="Arial" w:hAnsi="Arial" w:cs="Arial"/>
          <w:sz w:val="22"/>
          <w:szCs w:val="22"/>
          <w:u w:val="single"/>
        </w:rPr>
      </w:pPr>
    </w:p>
    <w:p w14:paraId="69BD57CD" w14:textId="1FDE38EE" w:rsidR="004B7324" w:rsidRDefault="004B7324" w:rsidP="00781BD4">
      <w:pPr>
        <w:pStyle w:val="Default"/>
        <w:rPr>
          <w:rFonts w:ascii="Arial" w:eastAsia="Arial" w:hAnsi="Arial" w:cs="Arial"/>
          <w:sz w:val="22"/>
          <w:szCs w:val="22"/>
          <w:u w:val="single"/>
        </w:rPr>
      </w:pPr>
    </w:p>
    <w:p w14:paraId="2B3AB3B1" w14:textId="060C4DBE" w:rsidR="004B7324" w:rsidRDefault="004B7324" w:rsidP="00781BD4">
      <w:pPr>
        <w:pStyle w:val="Default"/>
        <w:rPr>
          <w:rFonts w:ascii="Arial" w:eastAsia="Arial" w:hAnsi="Arial" w:cs="Arial"/>
          <w:sz w:val="22"/>
          <w:szCs w:val="22"/>
          <w:u w:val="single"/>
        </w:rPr>
      </w:pPr>
    </w:p>
    <w:p w14:paraId="210F2D98" w14:textId="5E54E334" w:rsidR="004B7324" w:rsidRDefault="004B7324" w:rsidP="00781BD4">
      <w:pPr>
        <w:pStyle w:val="Default"/>
        <w:rPr>
          <w:rFonts w:ascii="Arial" w:eastAsia="Arial" w:hAnsi="Arial" w:cs="Arial"/>
          <w:sz w:val="22"/>
          <w:szCs w:val="22"/>
          <w:u w:val="single"/>
        </w:rPr>
      </w:pPr>
    </w:p>
    <w:p w14:paraId="799D2A90" w14:textId="1D76CD00" w:rsidR="004B7324" w:rsidRDefault="004B7324" w:rsidP="00781BD4">
      <w:pPr>
        <w:pStyle w:val="Default"/>
        <w:rPr>
          <w:rFonts w:ascii="Arial" w:eastAsia="Arial" w:hAnsi="Arial" w:cs="Arial"/>
          <w:sz w:val="22"/>
          <w:szCs w:val="22"/>
          <w:u w:val="single"/>
        </w:rPr>
      </w:pPr>
    </w:p>
    <w:p w14:paraId="71A3480C" w14:textId="4B8748C8" w:rsidR="004B7324" w:rsidRDefault="004B7324" w:rsidP="00781BD4">
      <w:pPr>
        <w:pStyle w:val="Default"/>
        <w:rPr>
          <w:rFonts w:ascii="Arial" w:eastAsia="Arial" w:hAnsi="Arial" w:cs="Arial"/>
          <w:sz w:val="22"/>
          <w:szCs w:val="22"/>
          <w:u w:val="single"/>
        </w:rPr>
      </w:pPr>
    </w:p>
    <w:p w14:paraId="1D06C294" w14:textId="27637458" w:rsidR="004B7324" w:rsidRDefault="004B7324" w:rsidP="00781BD4">
      <w:pPr>
        <w:pStyle w:val="Default"/>
        <w:rPr>
          <w:rFonts w:ascii="Arial" w:eastAsia="Arial" w:hAnsi="Arial" w:cs="Arial"/>
          <w:sz w:val="22"/>
          <w:szCs w:val="22"/>
          <w:u w:val="single"/>
        </w:rPr>
      </w:pPr>
    </w:p>
    <w:p w14:paraId="2D731FDF" w14:textId="349A87ED" w:rsidR="004B7324" w:rsidRDefault="004B7324" w:rsidP="00781BD4">
      <w:pPr>
        <w:pStyle w:val="Default"/>
        <w:rPr>
          <w:rFonts w:ascii="Arial" w:eastAsia="Arial" w:hAnsi="Arial" w:cs="Arial"/>
          <w:sz w:val="22"/>
          <w:szCs w:val="22"/>
          <w:u w:val="single"/>
        </w:rPr>
      </w:pPr>
    </w:p>
    <w:p w14:paraId="275D67BD" w14:textId="456192EE" w:rsidR="004B7324" w:rsidRDefault="004B7324" w:rsidP="00781BD4">
      <w:pPr>
        <w:pStyle w:val="Default"/>
        <w:rPr>
          <w:rFonts w:ascii="Arial" w:eastAsia="Arial" w:hAnsi="Arial" w:cs="Arial"/>
          <w:sz w:val="22"/>
          <w:szCs w:val="22"/>
          <w:u w:val="single"/>
        </w:rPr>
      </w:pPr>
    </w:p>
    <w:p w14:paraId="4B4E830F" w14:textId="77777777" w:rsidR="004B7324" w:rsidRPr="00FC28B8" w:rsidRDefault="004B7324" w:rsidP="00781BD4">
      <w:pPr>
        <w:pStyle w:val="Default"/>
        <w:rPr>
          <w:rFonts w:ascii="Arial" w:eastAsia="Arial" w:hAnsi="Arial" w:cs="Arial"/>
          <w:sz w:val="22"/>
          <w:szCs w:val="22"/>
          <w:u w:val="single"/>
        </w:rPr>
      </w:pPr>
    </w:p>
    <w:p w14:paraId="68FCD381" w14:textId="6A6F6A6A" w:rsidR="00E07886" w:rsidRPr="00E07886" w:rsidRDefault="00E07886" w:rsidP="00E07886">
      <w:pPr>
        <w:pStyle w:val="Default"/>
        <w:rPr>
          <w:rFonts w:ascii="Arial" w:eastAsia="Arial" w:hAnsi="Arial" w:cs="Arial"/>
        </w:rPr>
      </w:pPr>
    </w:p>
    <w:p w14:paraId="41931971" w14:textId="6A11099D" w:rsidR="00E07886" w:rsidRPr="00E07886" w:rsidRDefault="00E07886" w:rsidP="00E07886">
      <w:pPr>
        <w:pStyle w:val="Default"/>
        <w:rPr>
          <w:rFonts w:ascii="Arial" w:eastAsia="Arial" w:hAnsi="Arial" w:cs="Arial"/>
        </w:rPr>
      </w:pPr>
    </w:p>
    <w:p w14:paraId="1AE12551" w14:textId="70A1E015" w:rsidR="00E07886" w:rsidRPr="00E07886" w:rsidRDefault="00E07886" w:rsidP="00E07886">
      <w:pPr>
        <w:pStyle w:val="Default"/>
        <w:rPr>
          <w:rFonts w:ascii="Arial" w:eastAsia="Arial" w:hAnsi="Arial" w:cs="Arial"/>
        </w:rPr>
      </w:pPr>
    </w:p>
    <w:p w14:paraId="13719F2D" w14:textId="08F43D12" w:rsidR="00E07886" w:rsidRPr="00E07886" w:rsidRDefault="00E07886" w:rsidP="00E07886">
      <w:pPr>
        <w:pStyle w:val="Default"/>
        <w:rPr>
          <w:rFonts w:ascii="Arial" w:eastAsia="Arial" w:hAnsi="Arial" w:cs="Arial"/>
        </w:rPr>
      </w:pPr>
    </w:p>
    <w:p w14:paraId="1CD7861A" w14:textId="13404D85" w:rsidR="00E07886" w:rsidRPr="00E07886" w:rsidRDefault="00E07886" w:rsidP="00E07886">
      <w:pPr>
        <w:pStyle w:val="Default"/>
        <w:rPr>
          <w:rFonts w:ascii="Arial" w:eastAsia="Arial" w:hAnsi="Arial" w:cs="Arial"/>
        </w:rPr>
      </w:pPr>
    </w:p>
    <w:p w14:paraId="24EA9207" w14:textId="55F0DE8C" w:rsidR="00E07886" w:rsidRPr="00E07886" w:rsidRDefault="00E07886" w:rsidP="00E07886">
      <w:pPr>
        <w:pStyle w:val="Default"/>
        <w:rPr>
          <w:rFonts w:ascii="Arial" w:eastAsia="Arial" w:hAnsi="Arial" w:cs="Arial"/>
        </w:rPr>
      </w:pPr>
    </w:p>
    <w:p w14:paraId="1496900E" w14:textId="6F2131D7" w:rsidR="00E07886" w:rsidRPr="00E07886" w:rsidRDefault="00E07886" w:rsidP="00E07886">
      <w:pPr>
        <w:pStyle w:val="Default"/>
        <w:rPr>
          <w:rFonts w:ascii="Arial" w:eastAsia="Arial" w:hAnsi="Arial" w:cs="Arial"/>
        </w:rPr>
      </w:pPr>
    </w:p>
    <w:p w14:paraId="3F317DAA" w14:textId="68AEBB8C" w:rsidR="00E07886" w:rsidRPr="00E07886" w:rsidRDefault="00E07886" w:rsidP="00E07886">
      <w:pPr>
        <w:pStyle w:val="Default"/>
        <w:rPr>
          <w:rFonts w:ascii="Arial" w:eastAsia="Arial" w:hAnsi="Arial" w:cs="Arial"/>
        </w:rPr>
      </w:pPr>
    </w:p>
    <w:p w14:paraId="06E1E251" w14:textId="09A9FB67" w:rsidR="00E07886" w:rsidRPr="00E07886" w:rsidRDefault="00E07886" w:rsidP="007E43AA">
      <w:pPr>
        <w:pStyle w:val="Default"/>
        <w:rPr>
          <w:rFonts w:ascii="Arial" w:eastAsia="Arial" w:hAnsi="Arial" w:cs="Arial"/>
        </w:rPr>
      </w:pPr>
    </w:p>
    <w:p w14:paraId="303BAD85" w14:textId="45ECA20C" w:rsidR="00794F42" w:rsidRPr="00794F42" w:rsidRDefault="00334390" w:rsidP="00CA1CA5">
      <w:pPr>
        <w:pStyle w:val="Default"/>
        <w:numPr>
          <w:ilvl w:val="1"/>
          <w:numId w:val="11"/>
        </w:numPr>
        <w:spacing w:after="120"/>
        <w:rPr>
          <w:rFonts w:ascii="Arial" w:eastAsia="Arial" w:hAnsi="Arial" w:cs="Arial"/>
        </w:rPr>
      </w:pPr>
      <w:r w:rsidRPr="000A3C49">
        <w:rPr>
          <w:rFonts w:ascii="Arial" w:hAnsi="Arial" w:cs="Arial"/>
        </w:rPr>
        <w:t>The purpose of funding provided</w:t>
      </w:r>
      <w:r w:rsidR="00AE69DA">
        <w:rPr>
          <w:rFonts w:ascii="Arial" w:hAnsi="Arial" w:cs="Arial"/>
        </w:rPr>
        <w:t xml:space="preserve"> by </w:t>
      </w:r>
      <w:r w:rsidR="005E44DF">
        <w:rPr>
          <w:rFonts w:ascii="Arial" w:hAnsi="Arial" w:cs="Arial"/>
        </w:rPr>
        <w:t>the Department for Work and Pensions</w:t>
      </w:r>
      <w:r w:rsidRPr="000A3C49">
        <w:rPr>
          <w:rFonts w:ascii="Arial" w:hAnsi="Arial" w:cs="Arial"/>
        </w:rPr>
        <w:t xml:space="preserve"> through Discretionary Housing Payments </w:t>
      </w:r>
      <w:r w:rsidR="008A0674">
        <w:rPr>
          <w:rFonts w:ascii="Arial" w:hAnsi="Arial" w:cs="Arial"/>
        </w:rPr>
        <w:t>is not solely for</w:t>
      </w:r>
      <w:r w:rsidRPr="000A3C49">
        <w:rPr>
          <w:rFonts w:ascii="Arial" w:hAnsi="Arial" w:cs="Arial"/>
        </w:rPr>
        <w:t xml:space="preserve"> homelessness, </w:t>
      </w:r>
      <w:r w:rsidR="006D097D">
        <w:rPr>
          <w:rFonts w:ascii="Arial" w:hAnsi="Arial" w:cs="Arial"/>
        </w:rPr>
        <w:t>but</w:t>
      </w:r>
      <w:r w:rsidRPr="000A3C49">
        <w:rPr>
          <w:rFonts w:ascii="Arial" w:hAnsi="Arial" w:cs="Arial"/>
        </w:rPr>
        <w:t xml:space="preserve"> we are aware that in practice some local authorities use this funding to help prevent homelessness to varying </w:t>
      </w:r>
      <w:r w:rsidR="000C4F88" w:rsidRPr="000A3C49">
        <w:rPr>
          <w:rFonts w:ascii="Arial" w:hAnsi="Arial" w:cs="Arial"/>
        </w:rPr>
        <w:t>extents</w:t>
      </w:r>
      <w:r w:rsidRPr="000A3C49">
        <w:rPr>
          <w:rFonts w:ascii="Arial" w:hAnsi="Arial" w:cs="Arial"/>
        </w:rPr>
        <w:t>.</w:t>
      </w:r>
      <w:r w:rsidR="00AF64E3" w:rsidRPr="000A3C49">
        <w:rPr>
          <w:rFonts w:ascii="Arial" w:hAnsi="Arial" w:cs="Arial"/>
        </w:rPr>
        <w:t xml:space="preserve"> </w:t>
      </w:r>
    </w:p>
    <w:p w14:paraId="31D3B8C3" w14:textId="6576DBF2" w:rsidR="00CA1CA5" w:rsidRDefault="00E07886" w:rsidP="00CA1CA5">
      <w:pPr>
        <w:pStyle w:val="Default"/>
        <w:numPr>
          <w:ilvl w:val="1"/>
          <w:numId w:val="11"/>
        </w:numPr>
        <w:spacing w:after="120"/>
        <w:rPr>
          <w:rFonts w:ascii="Arial" w:eastAsia="Arial" w:hAnsi="Arial" w:cs="Arial"/>
        </w:rPr>
      </w:pPr>
      <w:r w:rsidRPr="000A3C49">
        <w:rPr>
          <w:rFonts w:ascii="Arial" w:eastAsia="Arial" w:hAnsi="Arial" w:cs="Arial"/>
        </w:rPr>
        <w:t xml:space="preserve">The use of these funding streams </w:t>
      </w:r>
      <w:r w:rsidR="00EE753A">
        <w:rPr>
          <w:rFonts w:ascii="Arial" w:eastAsia="Arial" w:hAnsi="Arial" w:cs="Arial"/>
        </w:rPr>
        <w:t xml:space="preserve">can </w:t>
      </w:r>
      <w:r w:rsidR="00D65D1E" w:rsidRPr="000A3C49">
        <w:rPr>
          <w:rFonts w:ascii="Arial" w:eastAsia="Arial" w:hAnsi="Arial" w:cs="Arial"/>
        </w:rPr>
        <w:t>o</w:t>
      </w:r>
      <w:r w:rsidRPr="000A3C49">
        <w:rPr>
          <w:rFonts w:ascii="Arial" w:eastAsia="Arial" w:hAnsi="Arial" w:cs="Arial"/>
        </w:rPr>
        <w:t>verlap at various points</w:t>
      </w:r>
      <w:r w:rsidR="00D65D1E" w:rsidRPr="000A3C49">
        <w:rPr>
          <w:rFonts w:ascii="Arial" w:eastAsia="Arial" w:hAnsi="Arial" w:cs="Arial"/>
        </w:rPr>
        <w:t xml:space="preserve"> - f</w:t>
      </w:r>
      <w:r w:rsidRPr="000A3C49">
        <w:rPr>
          <w:rFonts w:ascii="Arial" w:eastAsia="Arial" w:hAnsi="Arial" w:cs="Arial"/>
        </w:rPr>
        <w:t>or example, the cost of temporary accommodation can be met through the Local Government Settlement or the Homelessness Prevention Grant, and payments to support vulnerable households with rent arrears can be funded from the Homelessness Prevention Grant, Local Government Settlement or via Discretionary Housing Payment</w:t>
      </w:r>
      <w:r w:rsidR="00D65D1E" w:rsidRPr="000A3C49">
        <w:rPr>
          <w:rFonts w:ascii="Arial" w:eastAsia="Arial" w:hAnsi="Arial" w:cs="Arial"/>
        </w:rPr>
        <w:t>s</w:t>
      </w:r>
      <w:r w:rsidRPr="000A3C49">
        <w:rPr>
          <w:rFonts w:ascii="Arial" w:eastAsia="Arial" w:hAnsi="Arial" w:cs="Arial"/>
        </w:rPr>
        <w:t xml:space="preserve">. This intersection between the various streams has resulted in a complex funding </w:t>
      </w:r>
      <w:r w:rsidR="008E56A0" w:rsidRPr="000A3C49">
        <w:rPr>
          <w:rFonts w:ascii="Arial" w:eastAsia="Arial" w:hAnsi="Arial" w:cs="Arial"/>
        </w:rPr>
        <w:t>landscape</w:t>
      </w:r>
      <w:r w:rsidRPr="000A3C49">
        <w:rPr>
          <w:rFonts w:ascii="Arial" w:eastAsia="Arial" w:hAnsi="Arial" w:cs="Arial"/>
        </w:rPr>
        <w:t xml:space="preserve">, and has made it challenging </w:t>
      </w:r>
      <w:r w:rsidR="009C557F" w:rsidRPr="000A3C49">
        <w:rPr>
          <w:rFonts w:ascii="Arial" w:eastAsia="Arial" w:hAnsi="Arial" w:cs="Arial"/>
        </w:rPr>
        <w:t>to understand</w:t>
      </w:r>
      <w:r w:rsidR="0014155F">
        <w:rPr>
          <w:rFonts w:ascii="Arial" w:eastAsia="Arial" w:hAnsi="Arial" w:cs="Arial"/>
        </w:rPr>
        <w:t xml:space="preserve"> if there are sufficient </w:t>
      </w:r>
      <w:r w:rsidR="003E77ED">
        <w:rPr>
          <w:rFonts w:ascii="Arial" w:eastAsia="Arial" w:hAnsi="Arial" w:cs="Arial"/>
        </w:rPr>
        <w:t>incentiv</w:t>
      </w:r>
      <w:r w:rsidR="0014155F">
        <w:rPr>
          <w:rFonts w:ascii="Arial" w:eastAsia="Arial" w:hAnsi="Arial" w:cs="Arial"/>
        </w:rPr>
        <w:t xml:space="preserve">es to invest </w:t>
      </w:r>
      <w:r w:rsidR="003E77ED">
        <w:rPr>
          <w:rFonts w:ascii="Arial" w:eastAsia="Arial" w:hAnsi="Arial" w:cs="Arial"/>
        </w:rPr>
        <w:t>in prevention</w:t>
      </w:r>
      <w:r w:rsidRPr="000A3C49">
        <w:rPr>
          <w:rFonts w:ascii="Arial" w:eastAsia="Arial" w:hAnsi="Arial" w:cs="Arial"/>
        </w:rPr>
        <w:t>.</w:t>
      </w:r>
    </w:p>
    <w:p w14:paraId="76530CD5" w14:textId="6667B86E" w:rsidR="00EF3B0B" w:rsidRPr="00CA1CA5" w:rsidRDefault="00E07886" w:rsidP="00CA1CA5">
      <w:pPr>
        <w:pStyle w:val="Default"/>
        <w:numPr>
          <w:ilvl w:val="1"/>
          <w:numId w:val="11"/>
        </w:numPr>
        <w:spacing w:after="120"/>
        <w:rPr>
          <w:rFonts w:ascii="Arial" w:eastAsia="Arial" w:hAnsi="Arial" w:cs="Arial"/>
        </w:rPr>
      </w:pPr>
      <w:r w:rsidRPr="00CA1CA5">
        <w:rPr>
          <w:rFonts w:ascii="Arial" w:eastAsia="Arial" w:hAnsi="Arial" w:cs="Arial"/>
        </w:rPr>
        <w:t xml:space="preserve">The most recent multi-year spending review, covering 2022-25, provides an opportunity to </w:t>
      </w:r>
      <w:r w:rsidR="0010563D" w:rsidRPr="00CA1CA5">
        <w:rPr>
          <w:rFonts w:ascii="Arial" w:eastAsia="Arial" w:hAnsi="Arial" w:cs="Arial"/>
        </w:rPr>
        <w:t xml:space="preserve">look again at </w:t>
      </w:r>
      <w:r w:rsidRPr="00CA1CA5">
        <w:rPr>
          <w:rFonts w:ascii="Arial" w:eastAsia="Arial" w:hAnsi="Arial" w:cs="Arial"/>
        </w:rPr>
        <w:t>the homelessness funding landscape and develop a longer-term ambition for the Homelessness Prevention Gran</w:t>
      </w:r>
      <w:r w:rsidR="00794F42" w:rsidRPr="00CA1CA5">
        <w:rPr>
          <w:rFonts w:ascii="Arial" w:eastAsia="Arial" w:hAnsi="Arial" w:cs="Arial"/>
        </w:rPr>
        <w:t>t</w:t>
      </w:r>
      <w:r w:rsidR="00B71245" w:rsidRPr="00CA1CA5">
        <w:rPr>
          <w:rFonts w:ascii="Arial" w:eastAsia="Arial" w:hAnsi="Arial" w:cs="Arial"/>
        </w:rPr>
        <w:t>.</w:t>
      </w:r>
      <w:r w:rsidR="0076415F" w:rsidRPr="00CA1CA5">
        <w:rPr>
          <w:rFonts w:ascii="Arial" w:eastAsia="Arial" w:hAnsi="Arial" w:cs="Arial"/>
        </w:rPr>
        <w:t xml:space="preserve"> W</w:t>
      </w:r>
      <w:r w:rsidRPr="00CA1CA5">
        <w:rPr>
          <w:rFonts w:ascii="Arial" w:eastAsia="Arial" w:hAnsi="Arial" w:cs="Arial"/>
        </w:rPr>
        <w:t xml:space="preserve">e </w:t>
      </w:r>
      <w:r w:rsidR="00C1386E" w:rsidRPr="00CA1CA5">
        <w:rPr>
          <w:rFonts w:ascii="Arial" w:eastAsia="Arial" w:hAnsi="Arial" w:cs="Arial"/>
        </w:rPr>
        <w:t>need</w:t>
      </w:r>
      <w:r w:rsidRPr="00CA1CA5">
        <w:rPr>
          <w:rFonts w:ascii="Arial" w:eastAsia="Arial" w:hAnsi="Arial" w:cs="Arial"/>
        </w:rPr>
        <w:t xml:space="preserve"> to update our data sources to make sure funding </w:t>
      </w:r>
      <w:r w:rsidR="003754CD" w:rsidRPr="00CA1CA5">
        <w:rPr>
          <w:rFonts w:ascii="Arial" w:eastAsia="Arial" w:hAnsi="Arial" w:cs="Arial"/>
        </w:rPr>
        <w:t xml:space="preserve">continues to be </w:t>
      </w:r>
      <w:r w:rsidRPr="00CA1CA5">
        <w:rPr>
          <w:rFonts w:ascii="Arial" w:eastAsia="Arial" w:hAnsi="Arial" w:cs="Arial"/>
        </w:rPr>
        <w:t>fairly allocated</w:t>
      </w:r>
      <w:r w:rsidR="0E430564" w:rsidRPr="00CA1CA5">
        <w:rPr>
          <w:rFonts w:ascii="Arial" w:eastAsia="Arial" w:hAnsi="Arial" w:cs="Arial"/>
        </w:rPr>
        <w:t xml:space="preserve"> </w:t>
      </w:r>
      <w:r w:rsidRPr="00CA1CA5">
        <w:rPr>
          <w:rFonts w:ascii="Arial" w:eastAsia="Arial" w:hAnsi="Arial" w:cs="Arial"/>
        </w:rPr>
        <w:t>according to current pressures</w:t>
      </w:r>
      <w:r w:rsidR="00010C0A" w:rsidRPr="00CA1CA5">
        <w:rPr>
          <w:rFonts w:ascii="Arial" w:eastAsia="Arial" w:hAnsi="Arial" w:cs="Arial"/>
        </w:rPr>
        <w:t>,</w:t>
      </w:r>
      <w:r w:rsidRPr="00CA1CA5">
        <w:rPr>
          <w:rFonts w:ascii="Arial" w:eastAsia="Arial" w:hAnsi="Arial" w:cs="Arial"/>
        </w:rPr>
        <w:t xml:space="preserve"> and</w:t>
      </w:r>
      <w:r w:rsidR="00010C0A" w:rsidRPr="00CA1CA5">
        <w:rPr>
          <w:rFonts w:ascii="Arial" w:eastAsia="Arial" w:hAnsi="Arial" w:cs="Arial"/>
        </w:rPr>
        <w:t xml:space="preserve"> we want to</w:t>
      </w:r>
      <w:r w:rsidRPr="00CA1CA5">
        <w:rPr>
          <w:rFonts w:ascii="Arial" w:eastAsia="Arial" w:hAnsi="Arial" w:cs="Arial"/>
        </w:rPr>
        <w:t xml:space="preserve"> improve our understanding of how the grant is used. </w:t>
      </w:r>
      <w:r w:rsidR="0101FA4F" w:rsidRPr="00CA1CA5">
        <w:rPr>
          <w:rFonts w:ascii="Arial" w:eastAsia="Arial" w:hAnsi="Arial" w:cs="Arial"/>
        </w:rPr>
        <w:t>This</w:t>
      </w:r>
      <w:r w:rsidR="00632B0D" w:rsidRPr="00CA1CA5">
        <w:rPr>
          <w:rFonts w:ascii="Arial" w:eastAsia="Arial" w:hAnsi="Arial" w:cs="Arial"/>
        </w:rPr>
        <w:t xml:space="preserve"> improved</w:t>
      </w:r>
      <w:r w:rsidR="00C94E35" w:rsidRPr="00CA1CA5">
        <w:rPr>
          <w:rFonts w:ascii="Arial" w:eastAsia="Arial" w:hAnsi="Arial" w:cs="Arial"/>
        </w:rPr>
        <w:t xml:space="preserve"> understanding </w:t>
      </w:r>
      <w:r w:rsidRPr="00CA1CA5">
        <w:rPr>
          <w:rFonts w:ascii="Arial" w:eastAsia="Arial" w:hAnsi="Arial" w:cs="Arial"/>
        </w:rPr>
        <w:t>will enable us to identify effective interventions (including through prevention activity</w:t>
      </w:r>
      <w:r w:rsidR="00B55E3D" w:rsidRPr="00CA1CA5">
        <w:rPr>
          <w:rFonts w:ascii="Arial" w:eastAsia="Arial" w:hAnsi="Arial" w:cs="Arial"/>
        </w:rPr>
        <w:t>) in order to</w:t>
      </w:r>
      <w:r w:rsidR="00B55E3D" w:rsidRPr="00CA1CA5">
        <w:rPr>
          <w:rFonts w:ascii="Arial" w:hAnsi="Arial" w:cs="Arial"/>
        </w:rPr>
        <w:t xml:space="preserve"> improve shared learning across local authorities</w:t>
      </w:r>
      <w:r w:rsidR="00B55E3D" w:rsidRPr="00CA1CA5">
        <w:rPr>
          <w:rFonts w:ascii="Arial" w:eastAsia="Arial" w:hAnsi="Arial" w:cs="Arial"/>
        </w:rPr>
        <w:t xml:space="preserve">, and </w:t>
      </w:r>
      <w:r w:rsidRPr="00CA1CA5">
        <w:rPr>
          <w:rFonts w:ascii="Arial" w:eastAsia="Arial" w:hAnsi="Arial" w:cs="Arial"/>
        </w:rPr>
        <w:t>make</w:t>
      </w:r>
      <w:r w:rsidR="00B55E3D" w:rsidRPr="00CA1CA5">
        <w:rPr>
          <w:rFonts w:ascii="Arial" w:eastAsia="Arial" w:hAnsi="Arial" w:cs="Arial"/>
        </w:rPr>
        <w:t xml:space="preserve"> sure </w:t>
      </w:r>
      <w:r w:rsidRPr="00CA1CA5">
        <w:rPr>
          <w:rFonts w:ascii="Arial" w:eastAsia="Arial" w:hAnsi="Arial" w:cs="Arial"/>
        </w:rPr>
        <w:t xml:space="preserve">the grant is sustainable for the future. </w:t>
      </w:r>
      <w:r w:rsidR="003A13BC" w:rsidRPr="00CA1CA5">
        <w:rPr>
          <w:rFonts w:ascii="Arial" w:eastAsia="Arial" w:hAnsi="Arial" w:cs="Arial"/>
        </w:rPr>
        <w:t xml:space="preserve">This will </w:t>
      </w:r>
      <w:r w:rsidR="5F110241" w:rsidRPr="00CA1CA5">
        <w:rPr>
          <w:rFonts w:ascii="Arial" w:eastAsia="Arial" w:hAnsi="Arial" w:cs="Arial"/>
        </w:rPr>
        <w:t>help to</w:t>
      </w:r>
      <w:r w:rsidR="003A13BC" w:rsidRPr="00CA1CA5">
        <w:rPr>
          <w:rFonts w:ascii="Arial" w:eastAsia="Arial" w:hAnsi="Arial" w:cs="Arial"/>
        </w:rPr>
        <w:t xml:space="preserve"> prevent homelessness </w:t>
      </w:r>
      <w:r w:rsidR="5F110241" w:rsidRPr="00CA1CA5">
        <w:rPr>
          <w:rFonts w:ascii="Arial" w:eastAsia="Arial" w:hAnsi="Arial" w:cs="Arial"/>
        </w:rPr>
        <w:t xml:space="preserve">and </w:t>
      </w:r>
      <w:r w:rsidR="003A13BC" w:rsidRPr="00CA1CA5">
        <w:rPr>
          <w:rFonts w:ascii="Arial" w:eastAsia="Arial" w:hAnsi="Arial" w:cs="Arial"/>
        </w:rPr>
        <w:t xml:space="preserve">rough sleeping and </w:t>
      </w:r>
      <w:r w:rsidR="5F110241" w:rsidRPr="00CA1CA5">
        <w:rPr>
          <w:rFonts w:ascii="Arial" w:eastAsia="Arial" w:hAnsi="Arial" w:cs="Arial"/>
        </w:rPr>
        <w:t xml:space="preserve">support the </w:t>
      </w:r>
      <w:r w:rsidR="00A06413">
        <w:rPr>
          <w:rFonts w:ascii="Arial" w:eastAsia="Arial" w:hAnsi="Arial" w:cs="Arial"/>
        </w:rPr>
        <w:t>g</w:t>
      </w:r>
      <w:r w:rsidR="5F110241" w:rsidRPr="00CA1CA5">
        <w:rPr>
          <w:rFonts w:ascii="Arial" w:eastAsia="Arial" w:hAnsi="Arial" w:cs="Arial"/>
        </w:rPr>
        <w:t xml:space="preserve">overnment’s </w:t>
      </w:r>
      <w:r w:rsidR="006C589C" w:rsidRPr="00CA1CA5">
        <w:rPr>
          <w:rFonts w:ascii="Arial" w:eastAsia="Arial" w:hAnsi="Arial" w:cs="Arial"/>
        </w:rPr>
        <w:t xml:space="preserve">commitment to </w:t>
      </w:r>
      <w:r w:rsidR="003A13BC" w:rsidRPr="00CA1CA5">
        <w:rPr>
          <w:rFonts w:ascii="Arial" w:eastAsia="Arial" w:hAnsi="Arial" w:cs="Arial"/>
        </w:rPr>
        <w:t xml:space="preserve">fully </w:t>
      </w:r>
      <w:r w:rsidR="5F110241" w:rsidRPr="00CA1CA5">
        <w:rPr>
          <w:rFonts w:ascii="Arial" w:eastAsia="Arial" w:hAnsi="Arial" w:cs="Arial"/>
        </w:rPr>
        <w:t>enforce</w:t>
      </w:r>
      <w:r w:rsidR="003A13BC" w:rsidRPr="00CA1CA5">
        <w:rPr>
          <w:rFonts w:ascii="Arial" w:eastAsia="Arial" w:hAnsi="Arial" w:cs="Arial"/>
        </w:rPr>
        <w:t xml:space="preserve"> the Homelessness Reduction Act.</w:t>
      </w:r>
    </w:p>
    <w:p w14:paraId="0C12492D" w14:textId="07210015" w:rsidR="00CA1CA5" w:rsidRDefault="00EF3B0B" w:rsidP="00CA1CA5">
      <w:pPr>
        <w:pStyle w:val="Default"/>
        <w:numPr>
          <w:ilvl w:val="1"/>
          <w:numId w:val="11"/>
        </w:numPr>
        <w:spacing w:after="120"/>
        <w:rPr>
          <w:rFonts w:ascii="Arial" w:eastAsia="Arial" w:hAnsi="Arial" w:cs="Arial"/>
        </w:rPr>
      </w:pPr>
      <w:r w:rsidRPr="00EF3B0B">
        <w:rPr>
          <w:rFonts w:ascii="Arial" w:eastAsia="Arial" w:hAnsi="Arial" w:cs="Arial"/>
        </w:rPr>
        <w:t xml:space="preserve">Looking beyond 2025, we want to simplify the funding landscape and </w:t>
      </w:r>
      <w:r w:rsidRPr="001367D7">
        <w:rPr>
          <w:rFonts w:ascii="Arial" w:eastAsia="Arial" w:hAnsi="Arial" w:cs="Arial"/>
        </w:rPr>
        <w:t xml:space="preserve">end the current mixed economy which can </w:t>
      </w:r>
      <w:r w:rsidR="00B270EE">
        <w:rPr>
          <w:rFonts w:ascii="Arial" w:eastAsia="Arial" w:hAnsi="Arial" w:cs="Arial"/>
        </w:rPr>
        <w:t>mean</w:t>
      </w:r>
      <w:r w:rsidR="00EC74DD">
        <w:rPr>
          <w:rFonts w:ascii="Arial" w:eastAsia="Arial" w:hAnsi="Arial" w:cs="Arial"/>
        </w:rPr>
        <w:t xml:space="preserve"> </w:t>
      </w:r>
      <w:r w:rsidRPr="00F42015">
        <w:rPr>
          <w:rFonts w:ascii="Arial" w:eastAsia="Arial" w:hAnsi="Arial" w:cs="Arial"/>
        </w:rPr>
        <w:t xml:space="preserve">short-term pressures to fund temporary accommodation </w:t>
      </w:r>
      <w:r w:rsidR="00EC74DD">
        <w:rPr>
          <w:rFonts w:ascii="Arial" w:eastAsia="Arial" w:hAnsi="Arial" w:cs="Arial"/>
        </w:rPr>
        <w:t>have to be</w:t>
      </w:r>
      <w:r w:rsidRPr="00F42015">
        <w:rPr>
          <w:rFonts w:ascii="Arial" w:eastAsia="Arial" w:hAnsi="Arial" w:cs="Arial"/>
        </w:rPr>
        <w:t xml:space="preserve"> traded off against the opportunity to invest in prevention. </w:t>
      </w:r>
      <w:r w:rsidR="00184BE4" w:rsidRPr="00F42015">
        <w:rPr>
          <w:rFonts w:ascii="Arial" w:eastAsia="Arial" w:hAnsi="Arial" w:cs="Arial"/>
        </w:rPr>
        <w:t xml:space="preserve">To do this, we must first understand what is working well and how </w:t>
      </w:r>
      <w:r w:rsidR="00184BE4" w:rsidRPr="00F42015">
        <w:rPr>
          <w:rFonts w:ascii="Arial" w:eastAsia="Arial" w:hAnsi="Arial" w:cs="Arial"/>
        </w:rPr>
        <w:lastRenderedPageBreak/>
        <w:t>current funding streams are being used</w:t>
      </w:r>
      <w:r w:rsidR="00611807">
        <w:rPr>
          <w:rFonts w:ascii="Arial" w:eastAsia="Arial" w:hAnsi="Arial" w:cs="Arial"/>
        </w:rPr>
        <w:t xml:space="preserve">. </w:t>
      </w:r>
      <w:r w:rsidR="00D7520F" w:rsidRPr="009B50B6">
        <w:rPr>
          <w:rFonts w:ascii="Arial" w:eastAsia="Arial" w:hAnsi="Arial" w:cs="Arial"/>
        </w:rPr>
        <w:t xml:space="preserve">The proposals in this consultation are the first steps towards </w:t>
      </w:r>
      <w:r w:rsidR="00A9280D" w:rsidRPr="009B50B6">
        <w:rPr>
          <w:rFonts w:ascii="Arial" w:eastAsia="Arial" w:hAnsi="Arial" w:cs="Arial"/>
        </w:rPr>
        <w:t xml:space="preserve">achieving </w:t>
      </w:r>
      <w:r w:rsidR="00D7520F" w:rsidRPr="00EF3B0B">
        <w:rPr>
          <w:rFonts w:ascii="Arial" w:eastAsia="Arial" w:hAnsi="Arial" w:cs="Arial"/>
        </w:rPr>
        <w:t>this.</w:t>
      </w:r>
    </w:p>
    <w:p w14:paraId="0B128B45" w14:textId="36CE57BB" w:rsidR="00E07886" w:rsidRPr="00CA1CA5" w:rsidRDefault="003A3F58" w:rsidP="00CA1CA5">
      <w:pPr>
        <w:pStyle w:val="Default"/>
        <w:numPr>
          <w:ilvl w:val="1"/>
          <w:numId w:val="11"/>
        </w:numPr>
        <w:spacing w:after="120"/>
        <w:rPr>
          <w:rFonts w:ascii="Arial" w:eastAsia="Arial" w:hAnsi="Arial" w:cs="Arial"/>
        </w:rPr>
      </w:pPr>
      <w:r w:rsidRPr="00CA1CA5">
        <w:rPr>
          <w:rFonts w:ascii="Arial" w:eastAsia="Arial" w:hAnsi="Arial" w:cs="Arial"/>
        </w:rPr>
        <w:t>For the proposals in this consultation, we</w:t>
      </w:r>
      <w:r w:rsidR="00DB34A9" w:rsidRPr="00CA1CA5">
        <w:rPr>
          <w:rFonts w:ascii="Arial" w:eastAsia="Arial" w:hAnsi="Arial" w:cs="Arial"/>
        </w:rPr>
        <w:t xml:space="preserve"> </w:t>
      </w:r>
      <w:r w:rsidR="00FC6833" w:rsidRPr="00CA1CA5">
        <w:rPr>
          <w:rFonts w:ascii="Arial" w:eastAsia="Arial" w:hAnsi="Arial" w:cs="Arial"/>
        </w:rPr>
        <w:t xml:space="preserve">understand the need </w:t>
      </w:r>
      <w:r w:rsidR="00DB34A9" w:rsidRPr="00CA1CA5">
        <w:rPr>
          <w:rFonts w:ascii="Arial" w:eastAsia="Arial" w:hAnsi="Arial" w:cs="Arial"/>
        </w:rPr>
        <w:t xml:space="preserve">to make sure changes </w:t>
      </w:r>
      <w:r w:rsidR="00DB34A9" w:rsidRPr="00CA1CA5">
        <w:rPr>
          <w:rFonts w:ascii="Arial" w:hAnsi="Arial" w:cs="Arial"/>
        </w:rPr>
        <w:t>strike the right balance between achieving better outcomes for homeless households</w:t>
      </w:r>
      <w:r w:rsidR="006F0632">
        <w:rPr>
          <w:rFonts w:ascii="Arial" w:hAnsi="Arial" w:cs="Arial"/>
        </w:rPr>
        <w:t xml:space="preserve"> and </w:t>
      </w:r>
      <w:r w:rsidR="00DB34A9" w:rsidRPr="00CA1CA5">
        <w:rPr>
          <w:rFonts w:ascii="Arial" w:hAnsi="Arial" w:cs="Arial"/>
        </w:rPr>
        <w:t xml:space="preserve">improving </w:t>
      </w:r>
      <w:r w:rsidR="00105864" w:rsidRPr="00CA1CA5">
        <w:rPr>
          <w:rFonts w:ascii="Arial" w:hAnsi="Arial" w:cs="Arial"/>
        </w:rPr>
        <w:t>accountability</w:t>
      </w:r>
      <w:r w:rsidR="00DB34A9" w:rsidRPr="00CA1CA5">
        <w:rPr>
          <w:rFonts w:ascii="Arial" w:hAnsi="Arial" w:cs="Arial"/>
        </w:rPr>
        <w:t xml:space="preserve"> whilst not being too administratively burdensome for authorities</w:t>
      </w:r>
      <w:r w:rsidR="00DB34A9" w:rsidRPr="00CA1CA5">
        <w:rPr>
          <w:rFonts w:ascii="Arial" w:eastAsia="Arial" w:hAnsi="Arial" w:cs="Arial"/>
        </w:rPr>
        <w:t xml:space="preserve">. </w:t>
      </w:r>
      <w:r w:rsidR="00D7520F" w:rsidRPr="00CA1CA5">
        <w:rPr>
          <w:rFonts w:ascii="Arial" w:eastAsia="Arial" w:hAnsi="Arial" w:cs="Arial"/>
        </w:rPr>
        <w:t xml:space="preserve">This will allow us to develop a sustainable approach </w:t>
      </w:r>
      <w:r w:rsidR="00961DE0" w:rsidRPr="00CA1CA5">
        <w:rPr>
          <w:rFonts w:ascii="Arial" w:eastAsia="Arial" w:hAnsi="Arial" w:cs="Arial"/>
        </w:rPr>
        <w:t xml:space="preserve">to funding arrangements </w:t>
      </w:r>
      <w:r w:rsidR="00D7520F" w:rsidRPr="00CA1CA5">
        <w:rPr>
          <w:rFonts w:ascii="Arial" w:eastAsia="Arial" w:hAnsi="Arial" w:cs="Arial"/>
        </w:rPr>
        <w:t xml:space="preserve">for the future. </w:t>
      </w:r>
    </w:p>
    <w:p w14:paraId="1E3CAF3B" w14:textId="46E6A63A" w:rsidR="00E07886" w:rsidRPr="001E1F60" w:rsidRDefault="00E07886" w:rsidP="00E07886">
      <w:pPr>
        <w:pStyle w:val="BodyText"/>
        <w:rPr>
          <w:rFonts w:cs="Arial"/>
        </w:rPr>
      </w:pPr>
    </w:p>
    <w:p w14:paraId="54B1ADE6" w14:textId="3B668607" w:rsidR="001C58D0" w:rsidRPr="001E1F60" w:rsidRDefault="001C58D0">
      <w:pPr>
        <w:rPr>
          <w:rFonts w:cs="Arial"/>
        </w:rPr>
      </w:pPr>
      <w:r w:rsidRPr="001E1F60">
        <w:rPr>
          <w:rFonts w:cs="Arial"/>
        </w:rPr>
        <w:br w:type="page"/>
      </w:r>
    </w:p>
    <w:p w14:paraId="54C8AF30" w14:textId="231BAEC5" w:rsidR="00E07886" w:rsidRDefault="001C58D0" w:rsidP="00313243">
      <w:pPr>
        <w:pStyle w:val="Heading2"/>
        <w:numPr>
          <w:ilvl w:val="0"/>
          <w:numId w:val="11"/>
        </w:numPr>
      </w:pPr>
      <w:r>
        <w:lastRenderedPageBreak/>
        <w:t>Overview of the consultation</w:t>
      </w:r>
    </w:p>
    <w:p w14:paraId="37A52672" w14:textId="77B8FFAD" w:rsidR="00261773" w:rsidRPr="00261773" w:rsidRDefault="00261773" w:rsidP="00984510">
      <w:pPr>
        <w:pStyle w:val="Default"/>
        <w:numPr>
          <w:ilvl w:val="1"/>
          <w:numId w:val="11"/>
        </w:numPr>
        <w:spacing w:after="120"/>
        <w:rPr>
          <w:rFonts w:ascii="Arial" w:eastAsia="Arial" w:hAnsi="Arial" w:cs="Arial"/>
        </w:rPr>
      </w:pPr>
      <w:r w:rsidRPr="00261773">
        <w:rPr>
          <w:rFonts w:ascii="Arial" w:eastAsia="Arial" w:hAnsi="Arial" w:cs="Arial"/>
        </w:rPr>
        <w:t>This consultation is seeking input from local authorities and other interested stakeholders on five key proposals:</w:t>
      </w:r>
    </w:p>
    <w:p w14:paraId="49B97932" w14:textId="55C0B8C2" w:rsidR="00261773" w:rsidRPr="00261773" w:rsidRDefault="00261773" w:rsidP="00984510">
      <w:pPr>
        <w:pStyle w:val="ListParagraph"/>
        <w:numPr>
          <w:ilvl w:val="0"/>
          <w:numId w:val="41"/>
        </w:numPr>
        <w:autoSpaceDE w:val="0"/>
        <w:autoSpaceDN w:val="0"/>
        <w:adjustRightInd w:val="0"/>
        <w:spacing w:after="120"/>
        <w:contextualSpacing w:val="0"/>
        <w:rPr>
          <w:rFonts w:ascii="Arial" w:eastAsia="Arial" w:hAnsi="Arial"/>
          <w:color w:val="000000"/>
        </w:rPr>
      </w:pPr>
      <w:r w:rsidRPr="00261773">
        <w:rPr>
          <w:rFonts w:ascii="Arial" w:eastAsia="Arial" w:hAnsi="Arial"/>
          <w:color w:val="000000" w:themeColor="text1"/>
        </w:rPr>
        <w:t xml:space="preserve">Updating the funding formula </w:t>
      </w:r>
      <w:r w:rsidRPr="00261773">
        <w:rPr>
          <w:rFonts w:ascii="Arial" w:eastAsia="Arial" w:hAnsi="Arial"/>
        </w:rPr>
        <w:t>so that it reflects current TA pressures</w:t>
      </w:r>
    </w:p>
    <w:p w14:paraId="4360AAB5" w14:textId="153DCF87" w:rsidR="00261773" w:rsidRPr="0009251B" w:rsidRDefault="00261773" w:rsidP="00984510">
      <w:pPr>
        <w:pStyle w:val="ListParagraph"/>
        <w:numPr>
          <w:ilvl w:val="0"/>
          <w:numId w:val="41"/>
        </w:numPr>
        <w:autoSpaceDE w:val="0"/>
        <w:autoSpaceDN w:val="0"/>
        <w:adjustRightInd w:val="0"/>
        <w:spacing w:after="120"/>
        <w:contextualSpacing w:val="0"/>
        <w:rPr>
          <w:rFonts w:ascii="Arial" w:eastAsia="Arial" w:hAnsi="Arial"/>
          <w:color w:val="000000"/>
        </w:rPr>
      </w:pPr>
      <w:r w:rsidRPr="00261773">
        <w:rPr>
          <w:rFonts w:ascii="Arial" w:eastAsia="Arial" w:hAnsi="Arial"/>
          <w:color w:val="000000" w:themeColor="text1"/>
        </w:rPr>
        <w:t>Introducing transitional arrangements for changes to funding allocations</w:t>
      </w:r>
    </w:p>
    <w:p w14:paraId="7F4F26E9" w14:textId="19CE5685" w:rsidR="0009251B" w:rsidRPr="0009251B" w:rsidRDefault="0009251B" w:rsidP="0009251B">
      <w:pPr>
        <w:pStyle w:val="ListParagraph"/>
        <w:numPr>
          <w:ilvl w:val="0"/>
          <w:numId w:val="41"/>
        </w:numPr>
        <w:autoSpaceDE w:val="0"/>
        <w:autoSpaceDN w:val="0"/>
        <w:adjustRightInd w:val="0"/>
        <w:spacing w:after="120"/>
        <w:contextualSpacing w:val="0"/>
        <w:rPr>
          <w:rFonts w:ascii="Arial" w:eastAsia="Arial" w:hAnsi="Arial"/>
          <w:color w:val="000000"/>
        </w:rPr>
      </w:pPr>
      <w:r w:rsidRPr="00261773">
        <w:rPr>
          <w:rFonts w:ascii="Arial" w:eastAsia="Arial" w:hAnsi="Arial"/>
          <w:color w:val="000000" w:themeColor="text1"/>
        </w:rPr>
        <w:t>Determining the timing of the a</w:t>
      </w:r>
      <w:r w:rsidRPr="00261773">
        <w:rPr>
          <w:rFonts w:ascii="Arial" w:eastAsia="Arial" w:hAnsi="Arial"/>
        </w:rPr>
        <w:t>nnouncements of 2023-24 and 2024-25 allocations, including a possible two-year funding allocation</w:t>
      </w:r>
    </w:p>
    <w:p w14:paraId="495FB3AA" w14:textId="6DCFD221" w:rsidR="00261773" w:rsidRPr="00261773" w:rsidRDefault="00261773" w:rsidP="00984510">
      <w:pPr>
        <w:pStyle w:val="ListParagraph"/>
        <w:numPr>
          <w:ilvl w:val="0"/>
          <w:numId w:val="41"/>
        </w:numPr>
        <w:autoSpaceDE w:val="0"/>
        <w:autoSpaceDN w:val="0"/>
        <w:adjustRightInd w:val="0"/>
        <w:spacing w:after="120"/>
        <w:contextualSpacing w:val="0"/>
        <w:rPr>
          <w:rFonts w:ascii="Arial" w:eastAsia="Arial" w:hAnsi="Arial"/>
          <w:color w:val="000000"/>
        </w:rPr>
      </w:pPr>
      <w:r w:rsidRPr="00261773">
        <w:rPr>
          <w:rFonts w:ascii="Arial" w:eastAsia="Arial" w:hAnsi="Arial"/>
          <w:color w:val="000000" w:themeColor="text1"/>
        </w:rPr>
        <w:t>Adding a grant condition to require local authorities to submit additional spend declaration information under the categories of ‘prevention</w:t>
      </w:r>
      <w:r w:rsidR="008E2C64">
        <w:rPr>
          <w:rFonts w:ascii="Arial" w:eastAsia="Arial" w:hAnsi="Arial"/>
          <w:color w:val="000000" w:themeColor="text1"/>
        </w:rPr>
        <w:t xml:space="preserve"> and relief</w:t>
      </w:r>
      <w:r w:rsidRPr="00261773">
        <w:rPr>
          <w:rFonts w:ascii="Arial" w:eastAsia="Arial" w:hAnsi="Arial"/>
          <w:color w:val="000000" w:themeColor="text1"/>
        </w:rPr>
        <w:t>’ and ‘TA’</w:t>
      </w:r>
      <w:r w:rsidR="008E2C64">
        <w:rPr>
          <w:rFonts w:ascii="Arial" w:eastAsia="Arial" w:hAnsi="Arial"/>
          <w:color w:val="000000" w:themeColor="text1"/>
        </w:rPr>
        <w:t xml:space="preserve"> and ‘main duty/other’</w:t>
      </w:r>
    </w:p>
    <w:p w14:paraId="37A4FC66" w14:textId="1BD9DB73" w:rsidR="00261773" w:rsidRPr="00261773" w:rsidRDefault="00261773" w:rsidP="00984510">
      <w:pPr>
        <w:pStyle w:val="ListParagraph"/>
        <w:numPr>
          <w:ilvl w:val="0"/>
          <w:numId w:val="41"/>
        </w:numPr>
        <w:autoSpaceDE w:val="0"/>
        <w:autoSpaceDN w:val="0"/>
        <w:adjustRightInd w:val="0"/>
        <w:spacing w:after="120"/>
        <w:contextualSpacing w:val="0"/>
        <w:rPr>
          <w:rFonts w:ascii="Arial" w:eastAsia="Arial" w:hAnsi="Arial"/>
          <w:color w:val="000000"/>
        </w:rPr>
      </w:pPr>
      <w:r w:rsidRPr="00261773">
        <w:rPr>
          <w:rFonts w:ascii="Arial" w:eastAsia="Arial" w:hAnsi="Arial"/>
          <w:color w:val="000000" w:themeColor="text1"/>
        </w:rPr>
        <w:t xml:space="preserve">Introducing tranche payments and requiring </w:t>
      </w:r>
      <w:r w:rsidR="0009251B">
        <w:rPr>
          <w:rFonts w:ascii="Arial" w:eastAsia="Arial" w:hAnsi="Arial"/>
          <w:color w:val="000000" w:themeColor="text1"/>
        </w:rPr>
        <w:t xml:space="preserve">accurate </w:t>
      </w:r>
      <w:r w:rsidRPr="00261773">
        <w:rPr>
          <w:rFonts w:ascii="Arial" w:eastAsia="Arial" w:hAnsi="Arial"/>
          <w:color w:val="000000" w:themeColor="text1"/>
        </w:rPr>
        <w:t>H-CLIC statistics</w:t>
      </w:r>
      <w:r w:rsidR="00680BD6">
        <w:rPr>
          <w:rFonts w:ascii="Arial" w:eastAsia="Arial" w:hAnsi="Arial"/>
          <w:color w:val="000000" w:themeColor="text1"/>
        </w:rPr>
        <w:t xml:space="preserve"> (</w:t>
      </w:r>
      <w:r w:rsidR="00680BD6" w:rsidRPr="001C0C4E">
        <w:rPr>
          <w:rFonts w:ascii="Arial" w:hAnsi="Arial"/>
        </w:rPr>
        <w:t>Homelessness Case Level Information Collection</w:t>
      </w:r>
      <w:r w:rsidR="009468EC">
        <w:rPr>
          <w:rFonts w:ascii="Arial" w:hAnsi="Arial"/>
        </w:rPr>
        <w:t xml:space="preserve"> -</w:t>
      </w:r>
      <w:r w:rsidR="00A33C04">
        <w:rPr>
          <w:rFonts w:ascii="Arial" w:hAnsi="Arial"/>
        </w:rPr>
        <w:t xml:space="preserve"> </w:t>
      </w:r>
      <w:r w:rsidR="00A33C04">
        <w:rPr>
          <w:rFonts w:ascii="Arial" w:eastAsia="Arial" w:hAnsi="Arial"/>
          <w:color w:val="000000" w:themeColor="text1"/>
        </w:rPr>
        <w:t>d</w:t>
      </w:r>
      <w:r w:rsidR="00A33C04" w:rsidRPr="001C0C4E">
        <w:rPr>
          <w:rFonts w:ascii="Arial" w:hAnsi="Arial"/>
        </w:rPr>
        <w:t>ata returns</w:t>
      </w:r>
      <w:r w:rsidR="00A33C04">
        <w:rPr>
          <w:rFonts w:ascii="Arial" w:hAnsi="Arial"/>
        </w:rPr>
        <w:t xml:space="preserve"> submitted by local authorities</w:t>
      </w:r>
      <w:r w:rsidR="00A33C04" w:rsidRPr="001C0C4E">
        <w:rPr>
          <w:rFonts w:ascii="Arial" w:hAnsi="Arial"/>
        </w:rPr>
        <w:t xml:space="preserve"> to DLUHC</w:t>
      </w:r>
      <w:r w:rsidR="00A33C04">
        <w:rPr>
          <w:rFonts w:ascii="Arial" w:hAnsi="Arial"/>
        </w:rPr>
        <w:t>)</w:t>
      </w:r>
      <w:r w:rsidRPr="00261773">
        <w:rPr>
          <w:rFonts w:ascii="Arial" w:eastAsia="Arial" w:hAnsi="Arial"/>
          <w:color w:val="000000" w:themeColor="text1"/>
        </w:rPr>
        <w:t xml:space="preserve"> to be submitted to receive the second tranche of funding</w:t>
      </w:r>
      <w:r w:rsidR="00530435">
        <w:rPr>
          <w:rFonts w:ascii="Arial" w:eastAsia="Arial" w:hAnsi="Arial"/>
          <w:color w:val="000000" w:themeColor="text1"/>
        </w:rPr>
        <w:t>.</w:t>
      </w:r>
    </w:p>
    <w:p w14:paraId="7EEDF936" w14:textId="3B8BF88C" w:rsidR="00261773" w:rsidRPr="00984510" w:rsidRDefault="00261773" w:rsidP="00984510">
      <w:pPr>
        <w:pStyle w:val="ListParagraph"/>
        <w:numPr>
          <w:ilvl w:val="1"/>
          <w:numId w:val="11"/>
        </w:numPr>
        <w:autoSpaceDE w:val="0"/>
        <w:autoSpaceDN w:val="0"/>
        <w:adjustRightInd w:val="0"/>
        <w:spacing w:after="120"/>
        <w:contextualSpacing w:val="0"/>
        <w:rPr>
          <w:rFonts w:ascii="Arial" w:eastAsia="Arial" w:hAnsi="Arial"/>
          <w:color w:val="000000"/>
        </w:rPr>
      </w:pPr>
      <w:r w:rsidRPr="00261773">
        <w:rPr>
          <w:rFonts w:ascii="Arial" w:eastAsia="Arial" w:hAnsi="Arial"/>
        </w:rPr>
        <w:t>The aims of this consultation are as follows:</w:t>
      </w:r>
    </w:p>
    <w:p w14:paraId="1E75D93D" w14:textId="78105387" w:rsidR="00261773" w:rsidRPr="00261773" w:rsidRDefault="00261773" w:rsidP="00984510">
      <w:pPr>
        <w:pStyle w:val="Default"/>
        <w:numPr>
          <w:ilvl w:val="0"/>
          <w:numId w:val="43"/>
        </w:numPr>
        <w:spacing w:after="120"/>
        <w:rPr>
          <w:rFonts w:ascii="Arial" w:eastAsia="Arial" w:hAnsi="Arial" w:cs="Arial"/>
          <w:color w:val="000000" w:themeColor="text1"/>
        </w:rPr>
      </w:pPr>
      <w:r w:rsidRPr="00261773">
        <w:rPr>
          <w:rFonts w:ascii="Arial" w:eastAsia="Arial" w:hAnsi="Arial" w:cs="Arial"/>
          <w:color w:val="000000" w:themeColor="text1"/>
        </w:rPr>
        <w:t xml:space="preserve">To make sure that funding is distributed fairly </w:t>
      </w:r>
      <w:r w:rsidR="49FBED13" w:rsidRPr="57D2B8DC">
        <w:rPr>
          <w:rFonts w:ascii="Arial" w:eastAsia="Arial" w:hAnsi="Arial" w:cs="Arial"/>
          <w:color w:val="000000" w:themeColor="text1"/>
        </w:rPr>
        <w:t xml:space="preserve">to local authorities </w:t>
      </w:r>
      <w:r w:rsidRPr="00261773">
        <w:rPr>
          <w:rFonts w:ascii="Arial" w:eastAsia="Arial" w:hAnsi="Arial" w:cs="Arial"/>
          <w:color w:val="000000" w:themeColor="text1"/>
        </w:rPr>
        <w:t>and is driven by a current picture of need</w:t>
      </w:r>
    </w:p>
    <w:p w14:paraId="116F5954" w14:textId="3E8889F2" w:rsidR="00261773" w:rsidRPr="00261773" w:rsidRDefault="00261773" w:rsidP="00984510">
      <w:pPr>
        <w:pStyle w:val="Default"/>
        <w:numPr>
          <w:ilvl w:val="0"/>
          <w:numId w:val="43"/>
        </w:numPr>
        <w:spacing w:after="120"/>
        <w:rPr>
          <w:rFonts w:ascii="Arial" w:eastAsia="Arial" w:hAnsi="Arial" w:cs="Arial"/>
          <w:color w:val="000000" w:themeColor="text1"/>
        </w:rPr>
      </w:pPr>
      <w:r w:rsidRPr="00261773">
        <w:rPr>
          <w:rFonts w:ascii="Arial" w:eastAsia="Arial" w:hAnsi="Arial" w:cs="Arial"/>
        </w:rPr>
        <w:t xml:space="preserve">To </w:t>
      </w:r>
      <w:r>
        <w:rPr>
          <w:rFonts w:ascii="Arial" w:eastAsia="Arial" w:hAnsi="Arial" w:cs="Arial"/>
        </w:rPr>
        <w:t>make sure</w:t>
      </w:r>
      <w:r w:rsidRPr="00261773">
        <w:rPr>
          <w:rFonts w:ascii="Arial" w:eastAsia="Arial" w:hAnsi="Arial" w:cs="Arial"/>
        </w:rPr>
        <w:t xml:space="preserve"> any changes to funding allocations can be incorporated into service delivery, continuing to enable</w:t>
      </w:r>
      <w:r>
        <w:rPr>
          <w:rFonts w:ascii="Arial" w:eastAsia="Arial" w:hAnsi="Arial" w:cs="Arial"/>
        </w:rPr>
        <w:t xml:space="preserve"> </w:t>
      </w:r>
      <w:r w:rsidRPr="00261773">
        <w:rPr>
          <w:rFonts w:ascii="Arial" w:eastAsia="Arial" w:hAnsi="Arial" w:cs="Arial"/>
        </w:rPr>
        <w:t>LAs to meet their statutory homelessness duties</w:t>
      </w:r>
    </w:p>
    <w:p w14:paraId="252D2C2B" w14:textId="74F5283C" w:rsidR="00E738AC" w:rsidRPr="00E738AC" w:rsidRDefault="00261773" w:rsidP="00984510">
      <w:pPr>
        <w:pStyle w:val="Default"/>
        <w:numPr>
          <w:ilvl w:val="0"/>
          <w:numId w:val="43"/>
        </w:numPr>
        <w:spacing w:after="120"/>
        <w:rPr>
          <w:rFonts w:ascii="Arial" w:eastAsia="Arial" w:hAnsi="Arial" w:cs="Arial"/>
          <w:color w:val="000000" w:themeColor="text1"/>
        </w:rPr>
      </w:pPr>
      <w:r w:rsidRPr="00261773">
        <w:rPr>
          <w:rFonts w:ascii="Arial" w:eastAsia="Arial" w:hAnsi="Arial" w:cs="Arial"/>
        </w:rPr>
        <w:t xml:space="preserve">To improve </w:t>
      </w:r>
      <w:r w:rsidR="00A06413">
        <w:rPr>
          <w:rFonts w:ascii="Arial" w:eastAsia="Arial" w:hAnsi="Arial" w:cs="Arial"/>
        </w:rPr>
        <w:t>g</w:t>
      </w:r>
      <w:r w:rsidRPr="00261773">
        <w:rPr>
          <w:rFonts w:ascii="Arial" w:eastAsia="Arial" w:hAnsi="Arial" w:cs="Arial"/>
        </w:rPr>
        <w:t>overnment understanding of how the grant is spent</w:t>
      </w:r>
      <w:r w:rsidR="49FBED13" w:rsidRPr="57D2B8DC">
        <w:rPr>
          <w:rFonts w:ascii="Arial" w:eastAsia="Arial" w:hAnsi="Arial" w:cs="Arial"/>
        </w:rPr>
        <w:t xml:space="preserve"> and</w:t>
      </w:r>
      <w:r w:rsidRPr="00261773">
        <w:rPr>
          <w:rFonts w:ascii="Arial" w:eastAsia="Arial" w:hAnsi="Arial" w:cs="Arial"/>
        </w:rPr>
        <w:t xml:space="preserve"> to help </w:t>
      </w:r>
      <w:r w:rsidR="00A06413">
        <w:rPr>
          <w:rFonts w:ascii="Arial" w:eastAsia="Arial" w:hAnsi="Arial" w:cs="Arial"/>
        </w:rPr>
        <w:t>g</w:t>
      </w:r>
      <w:r w:rsidRPr="00261773">
        <w:rPr>
          <w:rFonts w:ascii="Arial" w:eastAsia="Arial" w:hAnsi="Arial" w:cs="Arial"/>
        </w:rPr>
        <w:t xml:space="preserve">overnment understand what drives good performance, </w:t>
      </w:r>
      <w:r w:rsidR="49FBED13" w:rsidRPr="57D2B8DC">
        <w:rPr>
          <w:rFonts w:ascii="Arial" w:eastAsia="Arial" w:hAnsi="Arial" w:cs="Arial"/>
        </w:rPr>
        <w:t>which should support the</w:t>
      </w:r>
      <w:r w:rsidRPr="00261773">
        <w:rPr>
          <w:rFonts w:ascii="Arial" w:eastAsia="Arial" w:hAnsi="Arial" w:cs="Arial"/>
        </w:rPr>
        <w:t xml:space="preserve"> longer-term aim to focus the grant </w:t>
      </w:r>
      <w:r w:rsidR="49FBED13" w:rsidRPr="57D2B8DC">
        <w:rPr>
          <w:rFonts w:ascii="Arial" w:eastAsia="Arial" w:hAnsi="Arial" w:cs="Arial"/>
        </w:rPr>
        <w:t xml:space="preserve">more </w:t>
      </w:r>
      <w:r w:rsidRPr="00261773">
        <w:rPr>
          <w:rFonts w:ascii="Arial" w:eastAsia="Arial" w:hAnsi="Arial" w:cs="Arial"/>
        </w:rPr>
        <w:t>on prevention activity</w:t>
      </w:r>
      <w:r w:rsidR="49FBED13" w:rsidRPr="57D2B8DC">
        <w:rPr>
          <w:rFonts w:ascii="Arial" w:eastAsia="Arial" w:hAnsi="Arial" w:cs="Arial"/>
        </w:rPr>
        <w:t xml:space="preserve"> </w:t>
      </w:r>
    </w:p>
    <w:p w14:paraId="4B9A873F" w14:textId="1720EB39" w:rsidR="00261773" w:rsidRPr="00261773" w:rsidRDefault="00E738AC" w:rsidP="00984510">
      <w:pPr>
        <w:pStyle w:val="Default"/>
        <w:numPr>
          <w:ilvl w:val="0"/>
          <w:numId w:val="43"/>
        </w:numPr>
        <w:spacing w:after="120"/>
        <w:rPr>
          <w:rFonts w:ascii="Arial" w:eastAsia="Arial" w:hAnsi="Arial" w:cs="Arial"/>
          <w:color w:val="000000" w:themeColor="text1"/>
        </w:rPr>
      </w:pPr>
      <w:r>
        <w:rPr>
          <w:rFonts w:ascii="Arial" w:eastAsia="Arial" w:hAnsi="Arial" w:cs="Arial"/>
        </w:rPr>
        <w:t>To</w:t>
      </w:r>
      <w:r w:rsidR="00BA5434">
        <w:rPr>
          <w:rFonts w:ascii="Arial" w:eastAsia="Arial" w:hAnsi="Arial" w:cs="Arial"/>
        </w:rPr>
        <w:t xml:space="preserve"> enhance </w:t>
      </w:r>
      <w:r w:rsidR="00462D22">
        <w:rPr>
          <w:rFonts w:ascii="Arial" w:eastAsia="Arial" w:hAnsi="Arial" w:cs="Arial"/>
        </w:rPr>
        <w:t xml:space="preserve">shared learning </w:t>
      </w:r>
      <w:r w:rsidR="006212B6">
        <w:rPr>
          <w:rFonts w:ascii="Arial" w:eastAsia="Arial" w:hAnsi="Arial" w:cs="Arial"/>
        </w:rPr>
        <w:t>across authorities in terms of maximising</w:t>
      </w:r>
      <w:r w:rsidR="003577F4">
        <w:rPr>
          <w:rFonts w:ascii="Arial" w:eastAsia="Arial" w:hAnsi="Arial" w:cs="Arial"/>
        </w:rPr>
        <w:t xml:space="preserve"> </w:t>
      </w:r>
      <w:r w:rsidR="00D16504">
        <w:rPr>
          <w:rFonts w:ascii="Arial" w:eastAsia="Arial" w:hAnsi="Arial" w:cs="Arial"/>
        </w:rPr>
        <w:t>prevention</w:t>
      </w:r>
      <w:r w:rsidR="003577F4">
        <w:rPr>
          <w:rFonts w:ascii="Arial" w:eastAsia="Arial" w:hAnsi="Arial" w:cs="Arial"/>
        </w:rPr>
        <w:t xml:space="preserve"> activity</w:t>
      </w:r>
      <w:r w:rsidR="000B6FD7">
        <w:rPr>
          <w:rFonts w:ascii="Arial" w:eastAsia="Arial" w:hAnsi="Arial" w:cs="Arial"/>
        </w:rPr>
        <w:t xml:space="preserve">, </w:t>
      </w:r>
      <w:r w:rsidR="49FBED13" w:rsidRPr="57D2B8DC">
        <w:rPr>
          <w:rFonts w:ascii="Arial" w:eastAsia="Arial" w:hAnsi="Arial" w:cs="Arial"/>
        </w:rPr>
        <w:t>enabl</w:t>
      </w:r>
      <w:r w:rsidR="001E73F1">
        <w:rPr>
          <w:rFonts w:ascii="Arial" w:eastAsia="Arial" w:hAnsi="Arial" w:cs="Arial"/>
        </w:rPr>
        <w:t xml:space="preserve">ing </w:t>
      </w:r>
      <w:r w:rsidR="49FBED13" w:rsidRPr="57D2B8DC">
        <w:rPr>
          <w:rFonts w:ascii="Arial" w:eastAsia="Arial" w:hAnsi="Arial" w:cs="Arial"/>
        </w:rPr>
        <w:t>local authorities to achieve better outcomes</w:t>
      </w:r>
    </w:p>
    <w:p w14:paraId="582F968D" w14:textId="4201576A" w:rsidR="00261773" w:rsidRPr="00984510" w:rsidRDefault="00261773" w:rsidP="00984510">
      <w:pPr>
        <w:pStyle w:val="Default"/>
        <w:numPr>
          <w:ilvl w:val="0"/>
          <w:numId w:val="43"/>
        </w:numPr>
        <w:spacing w:after="120"/>
        <w:rPr>
          <w:rFonts w:ascii="Arial" w:eastAsia="Arial" w:hAnsi="Arial" w:cs="Arial"/>
          <w:color w:val="000000" w:themeColor="text1"/>
        </w:rPr>
      </w:pPr>
      <w:r w:rsidRPr="00261773">
        <w:rPr>
          <w:rFonts w:ascii="Arial" w:eastAsia="Arial" w:hAnsi="Arial" w:cs="Arial"/>
        </w:rPr>
        <w:t xml:space="preserve">To improve </w:t>
      </w:r>
      <w:r w:rsidR="00A06413">
        <w:rPr>
          <w:rFonts w:ascii="Arial" w:eastAsia="Arial" w:hAnsi="Arial" w:cs="Arial"/>
        </w:rPr>
        <w:t>g</w:t>
      </w:r>
      <w:r w:rsidRPr="00261773">
        <w:rPr>
          <w:rFonts w:ascii="Arial" w:eastAsia="Arial" w:hAnsi="Arial" w:cs="Arial"/>
        </w:rPr>
        <w:t>overnment understanding of the impact of the funding, particularly in relation to temporary accommodation outcomes, by incentivising more consistent data reporting by LAs</w:t>
      </w:r>
      <w:r w:rsidR="00100494">
        <w:rPr>
          <w:rFonts w:ascii="Arial" w:eastAsia="Arial" w:hAnsi="Arial" w:cs="Arial"/>
        </w:rPr>
        <w:t>.</w:t>
      </w:r>
    </w:p>
    <w:p w14:paraId="0994CC01" w14:textId="36032299" w:rsidR="00730932" w:rsidRPr="00730932" w:rsidRDefault="009A1B64" w:rsidP="00730932">
      <w:pPr>
        <w:pStyle w:val="Default"/>
        <w:numPr>
          <w:ilvl w:val="1"/>
          <w:numId w:val="11"/>
        </w:numPr>
        <w:spacing w:after="120"/>
        <w:rPr>
          <w:rFonts w:ascii="Arial" w:eastAsia="Arial" w:hAnsi="Arial" w:cs="Arial"/>
        </w:rPr>
      </w:pPr>
      <w:r w:rsidRPr="005E1A81">
        <w:rPr>
          <w:rFonts w:ascii="Arial" w:eastAsia="Arial" w:hAnsi="Arial" w:cs="Arial"/>
          <w:color w:val="auto"/>
        </w:rPr>
        <w:t xml:space="preserve">This consultation is reviewing the local allocation and conditions of the funding, rather than the overall level of funding available for the Homelessness Prevention Grant. </w:t>
      </w:r>
      <w:r w:rsidR="00261773" w:rsidRPr="005E1A81">
        <w:rPr>
          <w:rFonts w:ascii="Arial" w:eastAsia="Arial" w:hAnsi="Arial" w:cs="Arial"/>
          <w:color w:val="auto"/>
        </w:rPr>
        <w:t xml:space="preserve">Your input will help </w:t>
      </w:r>
      <w:r w:rsidR="006A4E90">
        <w:rPr>
          <w:rFonts w:ascii="Arial" w:eastAsia="Arial" w:hAnsi="Arial" w:cs="Arial"/>
          <w:color w:val="auto"/>
        </w:rPr>
        <w:t>g</w:t>
      </w:r>
      <w:r w:rsidR="00261773" w:rsidRPr="005E1A81">
        <w:rPr>
          <w:rFonts w:ascii="Arial" w:eastAsia="Arial" w:hAnsi="Arial" w:cs="Arial"/>
          <w:color w:val="auto"/>
        </w:rPr>
        <w:t xml:space="preserve">overnment to take an informed decision on the funding </w:t>
      </w:r>
      <w:r w:rsidR="00E235F4" w:rsidRPr="005E1A81">
        <w:rPr>
          <w:rFonts w:ascii="Arial" w:eastAsia="Arial" w:hAnsi="Arial" w:cs="Arial"/>
          <w:color w:val="auto"/>
        </w:rPr>
        <w:t>distribution model, a</w:t>
      </w:r>
      <w:r w:rsidR="00261773" w:rsidRPr="005E1A81">
        <w:rPr>
          <w:rFonts w:ascii="Arial" w:eastAsia="Arial" w:hAnsi="Arial" w:cs="Arial"/>
          <w:color w:val="auto"/>
        </w:rPr>
        <w:t>llocations</w:t>
      </w:r>
      <w:r w:rsidR="00E235F4" w:rsidRPr="005E1A81">
        <w:rPr>
          <w:rFonts w:ascii="Arial" w:eastAsia="Arial" w:hAnsi="Arial" w:cs="Arial"/>
          <w:color w:val="auto"/>
        </w:rPr>
        <w:t xml:space="preserve"> and grant conditions</w:t>
      </w:r>
      <w:r w:rsidR="00261773" w:rsidRPr="005E1A81">
        <w:rPr>
          <w:rFonts w:ascii="Arial" w:eastAsia="Arial" w:hAnsi="Arial" w:cs="Arial"/>
          <w:color w:val="auto"/>
        </w:rPr>
        <w:t xml:space="preserve"> for 2023-24, 2024-2025 and </w:t>
      </w:r>
      <w:r w:rsidR="00E235F4" w:rsidRPr="005E1A81">
        <w:rPr>
          <w:rFonts w:ascii="Arial" w:eastAsia="Arial" w:hAnsi="Arial" w:cs="Arial"/>
          <w:color w:val="auto"/>
        </w:rPr>
        <w:t>beyond</w:t>
      </w:r>
      <w:r w:rsidR="00B76A06">
        <w:rPr>
          <w:rFonts w:ascii="Arial" w:eastAsia="Arial" w:hAnsi="Arial" w:cs="Arial"/>
          <w:color w:val="auto"/>
        </w:rPr>
        <w:t xml:space="preserve">. Your input will also </w:t>
      </w:r>
      <w:r w:rsidR="00E235F4" w:rsidRPr="005E1A81">
        <w:rPr>
          <w:rFonts w:ascii="Arial" w:eastAsia="Arial" w:hAnsi="Arial" w:cs="Arial"/>
          <w:color w:val="auto"/>
        </w:rPr>
        <w:t>help</w:t>
      </w:r>
      <w:r w:rsidR="00261773" w:rsidRPr="005E1A81">
        <w:rPr>
          <w:rFonts w:ascii="Arial" w:eastAsia="Arial" w:hAnsi="Arial" w:cs="Arial"/>
          <w:color w:val="auto"/>
        </w:rPr>
        <w:t xml:space="preserve"> </w:t>
      </w:r>
      <w:r w:rsidR="00B76A06">
        <w:rPr>
          <w:rFonts w:ascii="Arial" w:eastAsia="Arial" w:hAnsi="Arial" w:cs="Arial"/>
          <w:color w:val="auto"/>
        </w:rPr>
        <w:t>governmen</w:t>
      </w:r>
      <w:r>
        <w:rPr>
          <w:rFonts w:ascii="Arial" w:eastAsia="Arial" w:hAnsi="Arial" w:cs="Arial"/>
          <w:color w:val="auto"/>
        </w:rPr>
        <w:t>t</w:t>
      </w:r>
      <w:r w:rsidR="00261773" w:rsidRPr="005E1A81">
        <w:rPr>
          <w:rFonts w:ascii="Arial" w:eastAsia="Arial" w:hAnsi="Arial" w:cs="Arial"/>
          <w:color w:val="auto"/>
        </w:rPr>
        <w:t xml:space="preserve"> to strike the right balance between enhanced scrutiny and accuracy of the funding model’s reflection of needs alongside sustainability of changes and the relative importance of each of these factors.</w:t>
      </w:r>
    </w:p>
    <w:p w14:paraId="14065CE4" w14:textId="3856C6C6" w:rsidR="001C58D0" w:rsidRPr="0027463C" w:rsidRDefault="00261773" w:rsidP="0027463C">
      <w:pPr>
        <w:pStyle w:val="Default"/>
        <w:numPr>
          <w:ilvl w:val="1"/>
          <w:numId w:val="11"/>
        </w:numPr>
        <w:spacing w:after="120"/>
        <w:rPr>
          <w:rFonts w:ascii="Arial" w:eastAsia="Arial" w:hAnsi="Arial" w:cs="Arial"/>
        </w:rPr>
      </w:pPr>
      <w:r w:rsidRPr="0027463C">
        <w:rPr>
          <w:rFonts w:ascii="Arial" w:eastAsia="Arial" w:hAnsi="Arial" w:cs="Arial"/>
          <w:color w:val="auto"/>
        </w:rPr>
        <w:t xml:space="preserve">This consultation is open for response from </w:t>
      </w:r>
      <w:r w:rsidR="003F539D" w:rsidRPr="0027463C">
        <w:rPr>
          <w:rFonts w:ascii="Arial" w:eastAsia="Arial" w:hAnsi="Arial" w:cs="Arial"/>
          <w:b/>
          <w:bCs/>
          <w:color w:val="auto"/>
        </w:rPr>
        <w:t xml:space="preserve">1 </w:t>
      </w:r>
      <w:r w:rsidR="00F32FCF" w:rsidRPr="0027463C">
        <w:rPr>
          <w:rFonts w:ascii="Arial" w:eastAsia="Arial" w:hAnsi="Arial" w:cs="Arial"/>
          <w:b/>
          <w:bCs/>
          <w:color w:val="auto"/>
        </w:rPr>
        <w:t>July</w:t>
      </w:r>
      <w:r w:rsidR="00330727" w:rsidRPr="0027463C">
        <w:rPr>
          <w:rFonts w:ascii="Arial" w:eastAsia="Arial" w:hAnsi="Arial" w:cs="Arial"/>
          <w:b/>
          <w:bCs/>
          <w:color w:val="auto"/>
        </w:rPr>
        <w:t xml:space="preserve"> </w:t>
      </w:r>
      <w:r w:rsidRPr="0027463C">
        <w:rPr>
          <w:rFonts w:ascii="Arial" w:eastAsia="Arial" w:hAnsi="Arial" w:cs="Arial"/>
          <w:b/>
          <w:bCs/>
          <w:color w:val="auto"/>
        </w:rPr>
        <w:t xml:space="preserve">to </w:t>
      </w:r>
      <w:r w:rsidR="00F32FCF" w:rsidRPr="0027463C">
        <w:rPr>
          <w:rFonts w:ascii="Arial" w:eastAsia="Arial" w:hAnsi="Arial" w:cs="Arial"/>
          <w:b/>
          <w:bCs/>
          <w:color w:val="auto"/>
        </w:rPr>
        <w:t>26</w:t>
      </w:r>
      <w:r w:rsidR="00330727" w:rsidRPr="0027463C">
        <w:rPr>
          <w:rFonts w:ascii="Arial" w:eastAsia="Arial" w:hAnsi="Arial" w:cs="Arial"/>
          <w:b/>
          <w:bCs/>
          <w:color w:val="auto"/>
        </w:rPr>
        <w:t xml:space="preserve"> August</w:t>
      </w:r>
      <w:r w:rsidRPr="0027463C">
        <w:rPr>
          <w:rFonts w:ascii="Arial" w:eastAsia="Arial" w:hAnsi="Arial" w:cs="Arial"/>
          <w:color w:val="auto"/>
        </w:rPr>
        <w:t>. We will also be holding focus groups with a selection of LAs during the consultation period. We will publish our consultation response alongside the allocations in late 2022.</w:t>
      </w:r>
    </w:p>
    <w:p w14:paraId="7EC3E697" w14:textId="77777777" w:rsidR="001C58D0" w:rsidRPr="00261773" w:rsidRDefault="001C58D0" w:rsidP="00E07886">
      <w:pPr>
        <w:rPr>
          <w:b/>
          <w:bCs/>
          <w:shd w:val="clear" w:color="auto" w:fill="FFFFFF"/>
        </w:rPr>
      </w:pPr>
    </w:p>
    <w:p w14:paraId="044D5B26" w14:textId="77777777" w:rsidR="001C58D0" w:rsidRDefault="001C58D0" w:rsidP="00E07886">
      <w:pPr>
        <w:rPr>
          <w:b/>
          <w:bCs/>
          <w:shd w:val="clear" w:color="auto" w:fill="FFFFFF"/>
        </w:rPr>
      </w:pPr>
    </w:p>
    <w:p w14:paraId="0BAD36FB" w14:textId="00F7BA6B" w:rsidR="00261773" w:rsidRDefault="00261773">
      <w:pPr>
        <w:rPr>
          <w:b/>
          <w:bCs/>
          <w:shd w:val="clear" w:color="auto" w:fill="FFFFFF"/>
        </w:rPr>
      </w:pPr>
      <w:r>
        <w:rPr>
          <w:b/>
          <w:bCs/>
          <w:shd w:val="clear" w:color="auto" w:fill="FFFFFF"/>
        </w:rPr>
        <w:br w:type="page"/>
      </w:r>
    </w:p>
    <w:p w14:paraId="0F0F2D72" w14:textId="409409F1" w:rsidR="00E07886" w:rsidRPr="00BF2A6A" w:rsidRDefault="00261773" w:rsidP="00313243">
      <w:pPr>
        <w:pStyle w:val="Heading2"/>
        <w:numPr>
          <w:ilvl w:val="0"/>
          <w:numId w:val="11"/>
        </w:numPr>
      </w:pPr>
      <w:r>
        <w:lastRenderedPageBreak/>
        <w:t>Amendments to the funding formula</w:t>
      </w:r>
    </w:p>
    <w:p w14:paraId="4BB63DCE" w14:textId="57D8ABA0" w:rsidR="00BF2A6A" w:rsidRDefault="00BF2A6A" w:rsidP="00BF2A6A">
      <w:pPr>
        <w:pStyle w:val="Heading3"/>
        <w:spacing w:after="120"/>
      </w:pPr>
      <w:r>
        <w:t>Background: the current allocations formula</w:t>
      </w:r>
    </w:p>
    <w:p w14:paraId="3083E5EA" w14:textId="02D43A9B" w:rsidR="00261773" w:rsidRPr="00261773" w:rsidRDefault="00261773" w:rsidP="00313243">
      <w:pPr>
        <w:pStyle w:val="Default"/>
        <w:numPr>
          <w:ilvl w:val="1"/>
          <w:numId w:val="11"/>
        </w:numPr>
        <w:spacing w:after="120"/>
        <w:rPr>
          <w:rFonts w:ascii="Arial" w:eastAsia="Arial" w:hAnsi="Arial" w:cs="Arial"/>
        </w:rPr>
      </w:pPr>
      <w:r w:rsidRPr="00261773">
        <w:rPr>
          <w:rFonts w:ascii="Arial" w:eastAsia="Arial" w:hAnsi="Arial" w:cs="Arial"/>
        </w:rPr>
        <w:t xml:space="preserve">At present, the Homelessness Prevention Grant is allocated to local authorities based on a formula which aims to reflect relative homelessness pressures in each area. </w:t>
      </w:r>
      <w:r w:rsidR="30EC9FEC" w:rsidRPr="57D2B8DC">
        <w:rPr>
          <w:rFonts w:ascii="Arial" w:eastAsia="Arial" w:hAnsi="Arial" w:cs="Arial"/>
        </w:rPr>
        <w:t>There</w:t>
      </w:r>
      <w:r w:rsidR="008B7E4E">
        <w:rPr>
          <w:rFonts w:ascii="Arial" w:eastAsia="Arial" w:hAnsi="Arial" w:cs="Arial"/>
        </w:rPr>
        <w:t xml:space="preserve"> are some elements of </w:t>
      </w:r>
      <w:r w:rsidR="00DB4E72">
        <w:rPr>
          <w:rFonts w:ascii="Arial" w:eastAsia="Arial" w:hAnsi="Arial" w:cs="Arial"/>
        </w:rPr>
        <w:t>this</w:t>
      </w:r>
      <w:r w:rsidR="008B7E4E">
        <w:rPr>
          <w:rFonts w:ascii="Arial" w:eastAsia="Arial" w:hAnsi="Arial" w:cs="Arial"/>
        </w:rPr>
        <w:t xml:space="preserve"> formula which </w:t>
      </w:r>
      <w:r w:rsidR="2C66A385" w:rsidRPr="57D2B8DC">
        <w:rPr>
          <w:rFonts w:ascii="Arial" w:eastAsia="Arial" w:hAnsi="Arial" w:cs="Arial"/>
        </w:rPr>
        <w:t>the Government wants to update</w:t>
      </w:r>
      <w:r w:rsidR="00B43C93">
        <w:rPr>
          <w:rFonts w:ascii="Arial" w:eastAsia="Arial" w:hAnsi="Arial" w:cs="Arial"/>
        </w:rPr>
        <w:t xml:space="preserve"> in order to ensure the formula continues to allocate funding in a fair way.</w:t>
      </w:r>
      <w:r w:rsidR="00DB4E72">
        <w:rPr>
          <w:rFonts w:ascii="Arial" w:eastAsia="Arial" w:hAnsi="Arial" w:cs="Arial"/>
        </w:rPr>
        <w:t xml:space="preserve"> We </w:t>
      </w:r>
      <w:r w:rsidR="67772312" w:rsidRPr="57D2B8DC">
        <w:rPr>
          <w:rFonts w:ascii="Arial" w:eastAsia="Arial" w:hAnsi="Arial" w:cs="Arial"/>
        </w:rPr>
        <w:t>want</w:t>
      </w:r>
      <w:r w:rsidR="00DB4E72">
        <w:rPr>
          <w:rFonts w:ascii="Arial" w:eastAsia="Arial" w:hAnsi="Arial" w:cs="Arial"/>
        </w:rPr>
        <w:t xml:space="preserve"> t</w:t>
      </w:r>
      <w:r w:rsidR="00575D62">
        <w:rPr>
          <w:rFonts w:ascii="Arial" w:eastAsia="Arial" w:hAnsi="Arial" w:cs="Arial"/>
        </w:rPr>
        <w:t xml:space="preserve">o make sure </w:t>
      </w:r>
      <w:r w:rsidR="00650DB0">
        <w:rPr>
          <w:rFonts w:ascii="Arial" w:eastAsia="Arial" w:hAnsi="Arial" w:cs="Arial"/>
        </w:rPr>
        <w:t xml:space="preserve">that allocations </w:t>
      </w:r>
      <w:r w:rsidR="00D04847">
        <w:rPr>
          <w:rFonts w:ascii="Arial" w:eastAsia="Arial" w:hAnsi="Arial" w:cs="Arial"/>
        </w:rPr>
        <w:t xml:space="preserve">are fair and </w:t>
      </w:r>
      <w:r w:rsidR="00575D62">
        <w:rPr>
          <w:rFonts w:ascii="Arial" w:eastAsia="Arial" w:hAnsi="Arial" w:cs="Arial"/>
        </w:rPr>
        <w:t>can be updated regularly,</w:t>
      </w:r>
      <w:r w:rsidR="005D025D">
        <w:rPr>
          <w:rFonts w:ascii="Arial" w:eastAsia="Arial" w:hAnsi="Arial" w:cs="Arial"/>
        </w:rPr>
        <w:t xml:space="preserve"> in a way which</w:t>
      </w:r>
      <w:r w:rsidR="00650DB0">
        <w:rPr>
          <w:rFonts w:ascii="Arial" w:eastAsia="Arial" w:hAnsi="Arial" w:cs="Arial"/>
        </w:rPr>
        <w:t xml:space="preserve"> </w:t>
      </w:r>
      <w:r w:rsidR="00196D1F">
        <w:rPr>
          <w:rFonts w:ascii="Arial" w:eastAsia="Arial" w:hAnsi="Arial" w:cs="Arial"/>
        </w:rPr>
        <w:t>reflects current</w:t>
      </w:r>
      <w:r w:rsidR="00650DB0">
        <w:rPr>
          <w:rFonts w:ascii="Arial" w:eastAsia="Arial" w:hAnsi="Arial" w:cs="Arial"/>
        </w:rPr>
        <w:t xml:space="preserve"> demand in local areas.</w:t>
      </w:r>
      <w:r w:rsidR="00DB4E72">
        <w:rPr>
          <w:rFonts w:ascii="Arial" w:eastAsia="Arial" w:hAnsi="Arial" w:cs="Arial"/>
        </w:rPr>
        <w:t xml:space="preserve"> </w:t>
      </w:r>
    </w:p>
    <w:p w14:paraId="737D5333" w14:textId="4BBC3211" w:rsidR="00BF2A6A" w:rsidRPr="00650DB0" w:rsidRDefault="00650DB0" w:rsidP="00313243">
      <w:pPr>
        <w:pStyle w:val="Default"/>
        <w:numPr>
          <w:ilvl w:val="1"/>
          <w:numId w:val="11"/>
        </w:numPr>
        <w:spacing w:after="120"/>
        <w:rPr>
          <w:rFonts w:ascii="Arial" w:eastAsia="Arial" w:hAnsi="Arial" w:cs="Arial"/>
        </w:rPr>
      </w:pPr>
      <w:r w:rsidRPr="00261773">
        <w:rPr>
          <w:rFonts w:ascii="Arial" w:eastAsia="Arial" w:hAnsi="Arial" w:cs="Arial"/>
        </w:rPr>
        <w:t>As referenced above, the overall funding provided in 2021/22 was £310m.</w:t>
      </w:r>
      <w:r w:rsidR="003F027B">
        <w:rPr>
          <w:rStyle w:val="FootnoteReference"/>
          <w:rFonts w:ascii="Arial" w:eastAsia="Arial" w:hAnsi="Arial" w:cs="Arial"/>
        </w:rPr>
        <w:footnoteReference w:id="4"/>
      </w:r>
      <w:r w:rsidRPr="00261773">
        <w:rPr>
          <w:rFonts w:ascii="Arial" w:eastAsia="Arial" w:hAnsi="Arial" w:cs="Arial"/>
        </w:rPr>
        <w:t xml:space="preserve"> </w:t>
      </w:r>
      <w:r w:rsidR="00261773" w:rsidRPr="00650DB0">
        <w:rPr>
          <w:rFonts w:ascii="Arial" w:eastAsia="Arial" w:hAnsi="Arial" w:cs="Arial"/>
        </w:rPr>
        <w:t xml:space="preserve">The current formula is split into three key calculations: </w:t>
      </w:r>
    </w:p>
    <w:p w14:paraId="0AE96CAC" w14:textId="77777777" w:rsidR="00BF2A6A" w:rsidRDefault="00261773" w:rsidP="00313243">
      <w:pPr>
        <w:pStyle w:val="Default"/>
        <w:numPr>
          <w:ilvl w:val="0"/>
          <w:numId w:val="13"/>
        </w:numPr>
        <w:spacing w:after="120"/>
        <w:rPr>
          <w:rFonts w:ascii="Arial" w:eastAsia="Arial" w:hAnsi="Arial" w:cs="Arial"/>
        </w:rPr>
      </w:pPr>
      <w:r w:rsidRPr="00261773">
        <w:rPr>
          <w:rFonts w:ascii="Arial" w:eastAsia="Arial" w:hAnsi="Arial" w:cs="Arial"/>
        </w:rPr>
        <w:t xml:space="preserve">£200m allocated in the same way as the former Flexible Homelessness Support Grant (FHSG) </w:t>
      </w:r>
    </w:p>
    <w:p w14:paraId="185DCAD1" w14:textId="77777777" w:rsidR="00BF2A6A" w:rsidRDefault="00261773" w:rsidP="00313243">
      <w:pPr>
        <w:pStyle w:val="Default"/>
        <w:numPr>
          <w:ilvl w:val="0"/>
          <w:numId w:val="13"/>
        </w:numPr>
        <w:spacing w:after="120"/>
        <w:rPr>
          <w:rFonts w:ascii="Arial" w:eastAsia="Arial" w:hAnsi="Arial" w:cs="Arial"/>
        </w:rPr>
      </w:pPr>
      <w:r w:rsidRPr="00261773">
        <w:rPr>
          <w:rFonts w:ascii="Arial" w:eastAsia="Arial" w:hAnsi="Arial" w:cs="Arial"/>
        </w:rPr>
        <w:t xml:space="preserve">£63m allocated in the same way as the former Homelessness Reduction Grant (HRG) </w:t>
      </w:r>
    </w:p>
    <w:p w14:paraId="64FDACF9" w14:textId="77777777" w:rsidR="00BF2A6A" w:rsidRDefault="00261773" w:rsidP="00313243">
      <w:pPr>
        <w:pStyle w:val="Default"/>
        <w:numPr>
          <w:ilvl w:val="0"/>
          <w:numId w:val="13"/>
        </w:numPr>
        <w:spacing w:after="120"/>
        <w:rPr>
          <w:rFonts w:ascii="Arial" w:eastAsia="Arial" w:hAnsi="Arial" w:cs="Arial"/>
        </w:rPr>
      </w:pPr>
      <w:r w:rsidRPr="00261773">
        <w:rPr>
          <w:rFonts w:ascii="Arial" w:eastAsia="Arial" w:hAnsi="Arial" w:cs="Arial"/>
        </w:rPr>
        <w:t>£47m</w:t>
      </w:r>
      <w:r w:rsidR="00BF2A6A">
        <w:rPr>
          <w:rFonts w:ascii="Arial" w:eastAsia="Arial" w:hAnsi="Arial" w:cs="Arial"/>
        </w:rPr>
        <w:t xml:space="preserve">, </w:t>
      </w:r>
      <w:r w:rsidRPr="00261773">
        <w:rPr>
          <w:rFonts w:ascii="Arial" w:eastAsia="Arial" w:hAnsi="Arial" w:cs="Arial"/>
        </w:rPr>
        <w:t xml:space="preserve">introduced as an uplift in 2021/22, allocated using a new formula that takes into account relative homelessness pressures. </w:t>
      </w:r>
    </w:p>
    <w:p w14:paraId="4F181687" w14:textId="2611BBAB" w:rsidR="00261773" w:rsidRPr="00261773" w:rsidRDefault="00261773" w:rsidP="00BF2A6A">
      <w:pPr>
        <w:pStyle w:val="Default"/>
        <w:spacing w:after="120"/>
        <w:ind w:left="720"/>
        <w:rPr>
          <w:rFonts w:ascii="Arial" w:eastAsia="Arial" w:hAnsi="Arial" w:cs="Arial"/>
        </w:rPr>
      </w:pPr>
      <w:r w:rsidRPr="00261773">
        <w:rPr>
          <w:rFonts w:ascii="Arial" w:eastAsia="Arial" w:hAnsi="Arial" w:cs="Arial"/>
        </w:rPr>
        <w:t xml:space="preserve">A </w:t>
      </w:r>
      <w:r w:rsidR="007124C2" w:rsidRPr="00261773">
        <w:rPr>
          <w:rFonts w:ascii="Arial" w:eastAsia="Arial" w:hAnsi="Arial" w:cs="Arial"/>
        </w:rPr>
        <w:t xml:space="preserve">full </w:t>
      </w:r>
      <w:r w:rsidR="00037E70">
        <w:rPr>
          <w:rFonts w:ascii="Arial" w:eastAsia="Arial" w:hAnsi="Arial" w:cs="Arial"/>
        </w:rPr>
        <w:t>overview</w:t>
      </w:r>
      <w:r w:rsidRPr="00261773">
        <w:rPr>
          <w:rFonts w:ascii="Arial" w:eastAsia="Arial" w:hAnsi="Arial" w:cs="Arial"/>
        </w:rPr>
        <w:t xml:space="preserve"> of the current formula can be</w:t>
      </w:r>
      <w:r w:rsidR="0048012F">
        <w:rPr>
          <w:rFonts w:ascii="Arial" w:eastAsia="Arial" w:hAnsi="Arial" w:cs="Arial"/>
        </w:rPr>
        <w:t xml:space="preserve"> found at Figure 1.3 below.</w:t>
      </w:r>
      <w:r w:rsidRPr="00261773">
        <w:rPr>
          <w:rFonts w:ascii="Arial" w:eastAsia="Arial" w:hAnsi="Arial" w:cs="Arial"/>
        </w:rPr>
        <w:t xml:space="preserve"> </w:t>
      </w:r>
    </w:p>
    <w:p w14:paraId="5B602FEA" w14:textId="77777777" w:rsidR="003B77A8" w:rsidRDefault="003B77A8" w:rsidP="00BF2A6A">
      <w:pPr>
        <w:pStyle w:val="Default"/>
        <w:spacing w:after="240"/>
        <w:rPr>
          <w:rFonts w:ascii="Arial" w:eastAsia="Arial" w:hAnsi="Arial" w:cs="Arial"/>
          <w:i/>
          <w:iCs/>
          <w:sz w:val="20"/>
          <w:szCs w:val="20"/>
          <w:u w:val="single"/>
        </w:rPr>
      </w:pPr>
      <w:r>
        <w:rPr>
          <w:rFonts w:ascii="Arial" w:eastAsia="Arial" w:hAnsi="Arial" w:cs="Arial"/>
          <w:i/>
          <w:iCs/>
          <w:sz w:val="20"/>
          <w:szCs w:val="20"/>
          <w:u w:val="single"/>
        </w:rPr>
        <w:br w:type="page"/>
      </w:r>
    </w:p>
    <w:p w14:paraId="38253AEE" w14:textId="6FF4E2A3" w:rsidR="00BF2A6A" w:rsidRPr="00BF2A6A" w:rsidRDefault="00E314C6" w:rsidP="00BF2A6A">
      <w:pPr>
        <w:pStyle w:val="Default"/>
        <w:spacing w:after="240"/>
        <w:rPr>
          <w:rFonts w:ascii="Arial" w:eastAsia="Arial" w:hAnsi="Arial" w:cs="Arial"/>
          <w:sz w:val="22"/>
          <w:szCs w:val="22"/>
          <w:u w:val="single"/>
        </w:rPr>
      </w:pPr>
      <w:r w:rsidRPr="00BF2A6A">
        <w:rPr>
          <w:noProof/>
          <w:u w:val="single"/>
        </w:rPr>
        <w:lastRenderedPageBreak/>
        <mc:AlternateContent>
          <mc:Choice Requires="wps">
            <w:drawing>
              <wp:anchor distT="45720" distB="45720" distL="114300" distR="114300" simplePos="0" relativeHeight="251658246" behindDoc="0" locked="0" layoutInCell="1" allowOverlap="1" wp14:anchorId="16CF2345" wp14:editId="2A9F590F">
                <wp:simplePos x="0" y="0"/>
                <wp:positionH relativeFrom="column">
                  <wp:posOffset>4259580</wp:posOffset>
                </wp:positionH>
                <wp:positionV relativeFrom="paragraph">
                  <wp:posOffset>4403090</wp:posOffset>
                </wp:positionV>
                <wp:extent cx="2440305" cy="3460750"/>
                <wp:effectExtent l="0" t="0" r="0" b="6350"/>
                <wp:wrapSquare wrapText="bothSides"/>
                <wp:docPr id="41" name="Text Box 2" descr="£47m – HRA uplift&#10;Part A: £37.6m&#10;o Share of pressure determined via the number of housing benefit claimants and households on universal credit with the housing element, lower quartile monthly private rented sector rents for two-bedroom properties, area cost adjustment&#10;&#10;Part B: £9.4m&#10;o The share of total single adult households owed a prevention or relief duty (where there is missing data, the share is calculated as 75% of part 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60750"/>
                        </a:xfrm>
                        <a:prstGeom prst="rect">
                          <a:avLst/>
                        </a:prstGeom>
                        <a:solidFill>
                          <a:schemeClr val="accent3">
                            <a:lumMod val="75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E0E92C2" w14:textId="3D6C4892" w:rsidR="00741FC7" w:rsidRPr="00E314C6" w:rsidRDefault="00741FC7" w:rsidP="00E272FB">
                            <w:pPr>
                              <w:pStyle w:val="paragraph"/>
                              <w:spacing w:after="120"/>
                              <w:textAlignment w:val="baseline"/>
                              <w:rPr>
                                <w:rStyle w:val="normaltextrun"/>
                                <w:rFonts w:ascii="Arial" w:hAnsi="Arial" w:cs="Arial"/>
                                <w:b/>
                                <w:color w:val="FFFFFF" w:themeColor="background1"/>
                                <w:sz w:val="32"/>
                                <w:szCs w:val="32"/>
                                <w:u w:val="single"/>
                                <w14:textOutline w14:w="9525" w14:cap="rnd" w14:cmpd="sng" w14:algn="ctr">
                                  <w14:noFill/>
                                  <w14:prstDash w14:val="solid"/>
                                  <w14:bevel/>
                                </w14:textOutline>
                              </w:rPr>
                            </w:pPr>
                            <w:r w:rsidRPr="00E314C6">
                              <w:rPr>
                                <w:rStyle w:val="normaltextrun"/>
                                <w:rFonts w:ascii="Arial" w:hAnsi="Arial" w:cs="Arial"/>
                                <w:b/>
                                <w:color w:val="FFFFFF" w:themeColor="background1"/>
                                <w:sz w:val="32"/>
                                <w:szCs w:val="32"/>
                                <w:u w:val="single"/>
                                <w14:textOutline w14:w="9525" w14:cap="rnd" w14:cmpd="sng" w14:algn="ctr">
                                  <w14:noFill/>
                                  <w14:prstDash w14:val="solid"/>
                                  <w14:bevel/>
                                </w14:textOutline>
                              </w:rPr>
                              <w:t>£47m – HRA uplift</w:t>
                            </w:r>
                          </w:p>
                          <w:p w14:paraId="0020EF80" w14:textId="77777777" w:rsidR="00741FC7" w:rsidRPr="00A14D51" w:rsidRDefault="00741FC7" w:rsidP="00741FC7">
                            <w:pPr>
                              <w:pStyle w:val="paragraph"/>
                              <w:spacing w:before="0" w:beforeAutospacing="0" w:after="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Part A: £37.6m</w:t>
                            </w:r>
                          </w:p>
                          <w:p w14:paraId="5AB7A7E5" w14:textId="6171E06B" w:rsidR="00A14D51" w:rsidRPr="00A14D51" w:rsidRDefault="00741FC7" w:rsidP="00A14D51">
                            <w:pPr>
                              <w:pStyle w:val="paragraph"/>
                              <w:numPr>
                                <w:ilvl w:val="0"/>
                                <w:numId w:val="21"/>
                              </w:numPr>
                              <w:spacing w:before="0" w:beforeAutospacing="0" w:after="12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Share of pressure determined via the number of housing benefit claimants and households on universal credit with the housing element, lower quartile monthly private rented sector rents for two-bedroom properties, area cost adjustment</w:t>
                            </w:r>
                          </w:p>
                          <w:p w14:paraId="5BDE1B22" w14:textId="77777777" w:rsidR="00A14D51" w:rsidRDefault="00A14D51" w:rsidP="00741FC7">
                            <w:pPr>
                              <w:pStyle w:val="paragraph"/>
                              <w:spacing w:before="0" w:beforeAutospacing="0" w:after="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p>
                          <w:p w14:paraId="6DF71B6C" w14:textId="579A7743" w:rsidR="00741FC7" w:rsidRPr="00A14D51" w:rsidRDefault="00741FC7" w:rsidP="00741FC7">
                            <w:pPr>
                              <w:pStyle w:val="paragraph"/>
                              <w:spacing w:before="0" w:beforeAutospacing="0" w:after="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Part B:</w:t>
                            </w:r>
                            <w:r w:rsidR="00A14D51">
                              <w:rPr>
                                <w:rFonts w:ascii="Arial" w:hAnsi="Arial" w:cs="Arial"/>
                                <w:color w:val="FFFFFF" w:themeColor="background1"/>
                                <w:sz w:val="22"/>
                                <w:szCs w:val="22"/>
                                <w14:textOutline w14:w="9525" w14:cap="rnd" w14:cmpd="sng" w14:algn="ctr">
                                  <w14:noFill/>
                                  <w14:prstDash w14:val="solid"/>
                                  <w14:bevel/>
                                </w14:textOutline>
                              </w:rPr>
                              <w:t xml:space="preserve"> </w:t>
                            </w:r>
                            <w:r w:rsidRPr="00A14D51">
                              <w:rPr>
                                <w:rFonts w:ascii="Arial" w:hAnsi="Arial" w:cs="Arial"/>
                                <w:color w:val="FFFFFF" w:themeColor="background1"/>
                                <w:sz w:val="22"/>
                                <w:szCs w:val="22"/>
                                <w14:textOutline w14:w="9525" w14:cap="rnd" w14:cmpd="sng" w14:algn="ctr">
                                  <w14:noFill/>
                                  <w14:prstDash w14:val="solid"/>
                                  <w14:bevel/>
                                </w14:textOutline>
                              </w:rPr>
                              <w:t>£9.4m</w:t>
                            </w:r>
                          </w:p>
                          <w:p w14:paraId="3BE3DF1C" w14:textId="77777777" w:rsidR="00741FC7" w:rsidRPr="00E272FB" w:rsidRDefault="00741FC7" w:rsidP="00741FC7">
                            <w:pPr>
                              <w:pStyle w:val="paragraph"/>
                              <w:numPr>
                                <w:ilvl w:val="0"/>
                                <w:numId w:val="21"/>
                              </w:numPr>
                              <w:spacing w:before="0" w:beforeAutospacing="0" w:after="0" w:afterAutospacing="0" w:line="259" w:lineRule="auto"/>
                              <w:textAlignment w:val="baseline"/>
                              <w:rPr>
                                <w:rFonts w:ascii="Arial" w:hAnsi="Arial" w:cs="Arial"/>
                                <w:color w:val="FFFFFF" w:themeColor="background1"/>
                                <w:sz w:val="20"/>
                                <w:szCs w:val="20"/>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The share of total single adult households owed a prevention or relief duty (where there is missing data, the share is calculated as 75% of part A</w:t>
                            </w:r>
                            <w:r w:rsidRPr="00E272FB">
                              <w:rPr>
                                <w:rFonts w:ascii="Arial" w:hAnsi="Arial" w:cs="Arial"/>
                                <w:color w:val="FFFFFF" w:themeColor="background1"/>
                                <w:sz w:val="20"/>
                                <w:szCs w:val="20"/>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F2345" id="Text Box 2" o:spid="_x0000_s1061" type="#_x0000_t202" alt="£47m – HRA uplift&#10;Part A: £37.6m&#10;o Share of pressure determined via the number of housing benefit claimants and households on universal credit with the housing element, lower quartile monthly private rented sector rents for two-bedroom properties, area cost adjustment&#10;&#10;Part B: £9.4m&#10;o The share of total single adult households owed a prevention or relief duty (where there is missing data, the share is calculated as 75% of part A) &#10;" style="position:absolute;margin-left:335.4pt;margin-top:346.7pt;width:192.15pt;height:27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" fillcolor="#76923c [2406]" stroked="f">
                <v:fill opacity="32896f"/>
                <v:textbox>
                  <w:txbxContent>
                    <w:p w14:paraId="2E0E92C2" w14:textId="3D6C4892" w:rsidR="00741FC7" w:rsidRPr="00E314C6" w:rsidRDefault="00741FC7" w:rsidP="00E272FB">
                      <w:pPr>
                        <w:pStyle w:val="paragraph"/>
                        <w:spacing w:after="120"/>
                        <w:textAlignment w:val="baseline"/>
                        <w:rPr>
                          <w:rStyle w:val="normaltextrun"/>
                          <w:rFonts w:ascii="Arial" w:hAnsi="Arial" w:cs="Arial"/>
                          <w:b/>
                          <w:color w:val="FFFFFF" w:themeColor="background1"/>
                          <w:sz w:val="32"/>
                          <w:szCs w:val="32"/>
                          <w:u w:val="single"/>
                          <w14:textOutline w14:w="9525" w14:cap="rnd" w14:cmpd="sng" w14:algn="ctr">
                            <w14:noFill/>
                            <w14:prstDash w14:val="solid"/>
                            <w14:bevel/>
                          </w14:textOutline>
                        </w:rPr>
                      </w:pPr>
                      <w:r w:rsidRPr="00E314C6">
                        <w:rPr>
                          <w:rStyle w:val="normaltextrun"/>
                          <w:rFonts w:ascii="Arial" w:hAnsi="Arial" w:cs="Arial"/>
                          <w:b/>
                          <w:color w:val="FFFFFF" w:themeColor="background1"/>
                          <w:sz w:val="32"/>
                          <w:szCs w:val="32"/>
                          <w:u w:val="single"/>
                          <w14:textOutline w14:w="9525" w14:cap="rnd" w14:cmpd="sng" w14:algn="ctr">
                            <w14:noFill/>
                            <w14:prstDash w14:val="solid"/>
                            <w14:bevel/>
                          </w14:textOutline>
                        </w:rPr>
                        <w:t>£47m – HRA uplift</w:t>
                      </w:r>
                    </w:p>
                    <w:p w14:paraId="0020EF80" w14:textId="77777777" w:rsidR="00741FC7" w:rsidRPr="00A14D51" w:rsidRDefault="00741FC7" w:rsidP="00741FC7">
                      <w:pPr>
                        <w:pStyle w:val="paragraph"/>
                        <w:spacing w:before="0" w:beforeAutospacing="0" w:after="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Part A: £37.6m</w:t>
                      </w:r>
                    </w:p>
                    <w:p w14:paraId="5AB7A7E5" w14:textId="6171E06B" w:rsidR="00A14D51" w:rsidRPr="00A14D51" w:rsidRDefault="00741FC7" w:rsidP="00A14D51">
                      <w:pPr>
                        <w:pStyle w:val="paragraph"/>
                        <w:numPr>
                          <w:ilvl w:val="0"/>
                          <w:numId w:val="21"/>
                        </w:numPr>
                        <w:spacing w:before="0" w:beforeAutospacing="0" w:after="12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Share of pressure determined via the number of housing benefit claimants and households on universal credit with the housing element, lower quartile monthly private rented sector rents for two-bedroom properties, area cost adjustment</w:t>
                      </w:r>
                    </w:p>
                    <w:p w14:paraId="5BDE1B22" w14:textId="77777777" w:rsidR="00A14D51" w:rsidRDefault="00A14D51" w:rsidP="00741FC7">
                      <w:pPr>
                        <w:pStyle w:val="paragraph"/>
                        <w:spacing w:before="0" w:beforeAutospacing="0" w:after="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p>
                    <w:p w14:paraId="6DF71B6C" w14:textId="579A7743" w:rsidR="00741FC7" w:rsidRPr="00A14D51" w:rsidRDefault="00741FC7" w:rsidP="00741FC7">
                      <w:pPr>
                        <w:pStyle w:val="paragraph"/>
                        <w:spacing w:before="0" w:beforeAutospacing="0" w:after="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Part B:</w:t>
                      </w:r>
                      <w:r w:rsidR="00A14D51">
                        <w:rPr>
                          <w:rFonts w:ascii="Arial" w:hAnsi="Arial" w:cs="Arial"/>
                          <w:color w:val="FFFFFF" w:themeColor="background1"/>
                          <w:sz w:val="22"/>
                          <w:szCs w:val="22"/>
                          <w14:textOutline w14:w="9525" w14:cap="rnd" w14:cmpd="sng" w14:algn="ctr">
                            <w14:noFill/>
                            <w14:prstDash w14:val="solid"/>
                            <w14:bevel/>
                          </w14:textOutline>
                        </w:rPr>
                        <w:t xml:space="preserve"> </w:t>
                      </w:r>
                      <w:r w:rsidRPr="00A14D51">
                        <w:rPr>
                          <w:rFonts w:ascii="Arial" w:hAnsi="Arial" w:cs="Arial"/>
                          <w:color w:val="FFFFFF" w:themeColor="background1"/>
                          <w:sz w:val="22"/>
                          <w:szCs w:val="22"/>
                          <w14:textOutline w14:w="9525" w14:cap="rnd" w14:cmpd="sng" w14:algn="ctr">
                            <w14:noFill/>
                            <w14:prstDash w14:val="solid"/>
                            <w14:bevel/>
                          </w14:textOutline>
                        </w:rPr>
                        <w:t>£9.4m</w:t>
                      </w:r>
                    </w:p>
                    <w:p w14:paraId="3BE3DF1C" w14:textId="77777777" w:rsidR="00741FC7" w:rsidRPr="00E272FB" w:rsidRDefault="00741FC7" w:rsidP="00741FC7">
                      <w:pPr>
                        <w:pStyle w:val="paragraph"/>
                        <w:numPr>
                          <w:ilvl w:val="0"/>
                          <w:numId w:val="21"/>
                        </w:numPr>
                        <w:spacing w:before="0" w:beforeAutospacing="0" w:after="0" w:afterAutospacing="0" w:line="259" w:lineRule="auto"/>
                        <w:textAlignment w:val="baseline"/>
                        <w:rPr>
                          <w:rFonts w:ascii="Arial" w:hAnsi="Arial" w:cs="Arial"/>
                          <w:color w:val="FFFFFF" w:themeColor="background1"/>
                          <w:sz w:val="20"/>
                          <w:szCs w:val="20"/>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The share of total single adult households owed a prevention or relief duty (where there is missing data, the share is calculated as 75% of part A</w:t>
                      </w:r>
                      <w:r w:rsidRPr="00E272FB">
                        <w:rPr>
                          <w:rFonts w:ascii="Arial" w:hAnsi="Arial" w:cs="Arial"/>
                          <w:color w:val="FFFFFF" w:themeColor="background1"/>
                          <w:sz w:val="20"/>
                          <w:szCs w:val="20"/>
                          <w14:textOutline w14:w="9525" w14:cap="rnd" w14:cmpd="sng" w14:algn="ctr">
                            <w14:noFill/>
                            <w14:prstDash w14:val="solid"/>
                            <w14:bevel/>
                          </w14:textOutline>
                        </w:rPr>
                        <w:t xml:space="preserve">) </w:t>
                      </w:r>
                    </w:p>
                  </w:txbxContent>
                </v:textbox>
                <w10:wrap type="square"/>
              </v:shape>
            </w:pict>
          </mc:Fallback>
        </mc:AlternateContent>
      </w:r>
      <w:r w:rsidRPr="00BF2A6A">
        <w:rPr>
          <w:noProof/>
          <w:u w:val="single"/>
        </w:rPr>
        <mc:AlternateContent>
          <mc:Choice Requires="wps">
            <w:drawing>
              <wp:anchor distT="45720" distB="45720" distL="114300" distR="114300" simplePos="0" relativeHeight="251658254" behindDoc="0" locked="0" layoutInCell="1" allowOverlap="1" wp14:anchorId="4FA9AC59" wp14:editId="6461864A">
                <wp:simplePos x="0" y="0"/>
                <wp:positionH relativeFrom="column">
                  <wp:posOffset>-453390</wp:posOffset>
                </wp:positionH>
                <wp:positionV relativeFrom="paragraph">
                  <wp:posOffset>4410075</wp:posOffset>
                </wp:positionV>
                <wp:extent cx="4655820" cy="3460750"/>
                <wp:effectExtent l="0" t="0" r="0" b="6350"/>
                <wp:wrapSquare wrapText="bothSides"/>
                <wp:docPr id="43" name="Text Box 2" descr="£63m – HRG formula&#10;Part A: £47.9m&#10;o Funding is allocated regionally based on different sub-formulas using RO4 homelessness expenditure data and H-CLIC data on number of people with duty owed and main duty acceptances&#10;o Funding is distributed to individual authorities using ONS midyear population estimates and Index of Multiple Deprivation average scores&#10;Part B: 15m&#10;o Funding is allocated regionally using: 15 * total net homelessness expenditure / total net homelessness expenditure in England&#10;o Funding is distributed to individual authorities using ONS midyear population estimates and Index of Multiple Deprivation average sco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3460750"/>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FF2FA7B" w14:textId="144233BA" w:rsidR="00741FC7" w:rsidRPr="00E314C6" w:rsidRDefault="00741FC7" w:rsidP="00E314C6">
                            <w:pPr>
                              <w:pStyle w:val="paragraph"/>
                              <w:jc w:val="both"/>
                              <w:textAlignment w:val="baseline"/>
                              <w:rPr>
                                <w:rFonts w:ascii="Arial" w:hAnsi="Arial" w:cs="Arial"/>
                                <w:b/>
                                <w:color w:val="FFFFFF" w:themeColor="background1"/>
                                <w:sz w:val="32"/>
                                <w:szCs w:val="32"/>
                                <w:u w:val="single"/>
                                <w14:textOutline w14:w="9525" w14:cap="rnd" w14:cmpd="sng" w14:algn="ctr">
                                  <w14:noFill/>
                                  <w14:prstDash w14:val="solid"/>
                                  <w14:bevel/>
                                </w14:textOutline>
                              </w:rPr>
                            </w:pPr>
                            <w:r w:rsidRPr="00E314C6">
                              <w:rPr>
                                <w:rStyle w:val="normaltextrun"/>
                                <w:rFonts w:ascii="Arial" w:hAnsi="Arial" w:cs="Arial"/>
                                <w:b/>
                                <w:color w:val="FFFFFF" w:themeColor="background1"/>
                                <w:sz w:val="32"/>
                                <w:szCs w:val="32"/>
                                <w:u w:val="single"/>
                                <w14:textOutline w14:w="9525" w14:cap="rnd" w14:cmpd="sng" w14:algn="ctr">
                                  <w14:noFill/>
                                  <w14:prstDash w14:val="solid"/>
                                  <w14:bevel/>
                                </w14:textOutline>
                              </w:rPr>
                              <w:t>£63m – HRG formula</w:t>
                            </w:r>
                          </w:p>
                          <w:p w14:paraId="17801B33" w14:textId="77777777" w:rsidR="00741FC7" w:rsidRPr="00A14D51" w:rsidRDefault="00741FC7" w:rsidP="00741FC7">
                            <w:pPr>
                              <w:pStyle w:val="paragraph"/>
                              <w:spacing w:before="0" w:beforeAutospacing="0" w:after="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Part A: £47.9m</w:t>
                            </w:r>
                          </w:p>
                          <w:p w14:paraId="649210C2" w14:textId="56F8F14D" w:rsidR="00A06413" w:rsidRPr="0094451D" w:rsidRDefault="00741FC7" w:rsidP="00A06413">
                            <w:pPr>
                              <w:pStyle w:val="Default"/>
                              <w:spacing w:after="120" w:line="259" w:lineRule="auto"/>
                              <w:rPr>
                                <w:rFonts w:ascii="Arial" w:eastAsia="Arial" w:hAnsi="Arial" w:cs="Arial"/>
                              </w:rPr>
                            </w:pPr>
                            <w:r w:rsidRPr="00A14D51">
                              <w:rPr>
                                <w:rFonts w:ascii="Arial" w:hAnsi="Arial" w:cs="Arial"/>
                                <w:color w:val="FFFFFF" w:themeColor="background1"/>
                                <w:sz w:val="22"/>
                                <w:szCs w:val="22"/>
                                <w14:textOutline w14:w="9525" w14:cap="rnd" w14:cmpd="sng" w14:algn="ctr">
                                  <w14:noFill/>
                                  <w14:prstDash w14:val="solid"/>
                                  <w14:bevel/>
                                </w14:textOutline>
                              </w:rPr>
                              <w:t>Funding is allocated regionally based on different sub-formulas using RO4 homelessness expenditure data</w:t>
                            </w:r>
                            <w:r w:rsidR="00A06413" w:rsidRPr="00A06413">
                              <w:rPr>
                                <w:rFonts w:ascii="Arial" w:hAnsi="Arial" w:cs="Arial"/>
                                <w:color w:val="FFFFFF" w:themeColor="background1"/>
                                <w:sz w:val="22"/>
                                <w:szCs w:val="22"/>
                                <w14:textOutline w14:w="9525" w14:cap="rnd" w14:cmpd="sng" w14:algn="ctr">
                                  <w14:noFill/>
                                  <w14:prstDash w14:val="solid"/>
                                  <w14:bevel/>
                                </w14:textOutline>
                              </w:rPr>
                              <w:t xml:space="preserve"> </w:t>
                            </w:r>
                            <w:r w:rsidR="00A06413" w:rsidRPr="00A06413">
                              <w:rPr>
                                <w:rFonts w:ascii="Arial" w:hAnsi="Arial" w:cs="Arial"/>
                                <w:color w:val="FFFFFF" w:themeColor="background1"/>
                                <w:sz w:val="28"/>
                                <w:szCs w:val="28"/>
                                <w14:textOutline w14:w="9525" w14:cap="rnd" w14:cmpd="sng" w14:algn="ctr">
                                  <w14:noFill/>
                                  <w14:prstDash w14:val="solid"/>
                                  <w14:bevel/>
                                </w14:textOutline>
                              </w:rPr>
                              <w:t>(</w:t>
                            </w:r>
                            <w:r w:rsidR="00A06413" w:rsidRPr="00A06413">
                              <w:rPr>
                                <w:rFonts w:ascii="Arial" w:eastAsia="Arial" w:hAnsi="Arial" w:cs="Arial"/>
                                <w:color w:val="FFFFFF" w:themeColor="background1"/>
                                <w:sz w:val="22"/>
                                <w:szCs w:val="22"/>
                              </w:rPr>
                              <w:t>DLUHC Local authority revenue expenditure and financing, revenue outturn housing services)</w:t>
                            </w:r>
                          </w:p>
                          <w:p w14:paraId="28A03730" w14:textId="5299D305" w:rsidR="00741FC7" w:rsidRPr="00A14D51" w:rsidRDefault="00741FC7" w:rsidP="00741FC7">
                            <w:pPr>
                              <w:pStyle w:val="paragraph"/>
                              <w:numPr>
                                <w:ilvl w:val="0"/>
                                <w:numId w:val="19"/>
                              </w:numPr>
                              <w:spacing w:before="0" w:beforeAutospacing="0" w:after="12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and H-CLIC data on number of people with duty owed and main duty acceptances</w:t>
                            </w:r>
                          </w:p>
                          <w:p w14:paraId="2572071A" w14:textId="77777777" w:rsidR="00741FC7" w:rsidRPr="00A14D51" w:rsidRDefault="00741FC7" w:rsidP="00741FC7">
                            <w:pPr>
                              <w:pStyle w:val="paragraph"/>
                              <w:numPr>
                                <w:ilvl w:val="0"/>
                                <w:numId w:val="19"/>
                              </w:numPr>
                              <w:spacing w:before="0" w:beforeAutospacing="0" w:after="12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Funding is distributed to individual authorities using ONS midyear population estimates and Index of Multiple Deprivation average scores</w:t>
                            </w:r>
                          </w:p>
                          <w:p w14:paraId="2287420B" w14:textId="77777777" w:rsidR="00741FC7" w:rsidRPr="00A14D51" w:rsidRDefault="00741FC7" w:rsidP="00741FC7">
                            <w:pPr>
                              <w:pStyle w:val="paragraph"/>
                              <w:spacing w:before="0" w:beforeAutospacing="0" w:after="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Part B: 15m</w:t>
                            </w:r>
                          </w:p>
                          <w:p w14:paraId="39FD726B" w14:textId="77777777" w:rsidR="00741FC7" w:rsidRPr="00A14D51" w:rsidRDefault="00741FC7" w:rsidP="00741FC7">
                            <w:pPr>
                              <w:pStyle w:val="paragraph"/>
                              <w:numPr>
                                <w:ilvl w:val="0"/>
                                <w:numId w:val="20"/>
                              </w:numPr>
                              <w:spacing w:before="0" w:beforeAutospacing="0" w:after="12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Funding is allocated regionally using: 15 * total net homelessness expenditure / total net homelessness expenditure in England</w:t>
                            </w:r>
                          </w:p>
                          <w:p w14:paraId="4B1B4538" w14:textId="77777777" w:rsidR="00741FC7" w:rsidRPr="00A14D51" w:rsidRDefault="00741FC7" w:rsidP="00741FC7">
                            <w:pPr>
                              <w:pStyle w:val="paragraph"/>
                              <w:numPr>
                                <w:ilvl w:val="0"/>
                                <w:numId w:val="20"/>
                              </w:numPr>
                              <w:spacing w:before="0" w:beforeAutospacing="0" w:after="12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Funding is distributed to individual authorities using ONS midyear population estimates and Index of Multiple Deprivation average scores</w:t>
                            </w:r>
                          </w:p>
                          <w:p w14:paraId="703B40B8" w14:textId="77777777" w:rsidR="00741FC7" w:rsidRPr="00F66725" w:rsidRDefault="00741FC7" w:rsidP="00741FC7">
                            <w:pPr>
                              <w:pStyle w:val="paragraph"/>
                              <w:spacing w:after="120"/>
                              <w:jc w:val="center"/>
                              <w:textAlignment w:val="baseline"/>
                              <w:rPr>
                                <w:rFonts w:ascii="Arial" w:hAnsi="Arial" w:cs="Arial"/>
                                <w:b/>
                                <w:color w:val="FFFFFF" w:themeColor="background1"/>
                                <w:sz w:val="32"/>
                                <w:szCs w:val="32"/>
                                <w:u w:val="single"/>
                                <w14:textOutline w14:w="9525" w14:cap="rnd" w14:cmpd="sng" w14:algn="ctr">
                                  <w14:noFill/>
                                  <w14:prstDash w14:val="solid"/>
                                  <w14:bevel/>
                                </w14:textOutline>
                              </w:rPr>
                            </w:pPr>
                          </w:p>
                          <w:p w14:paraId="2C2EC8B5" w14:textId="77777777" w:rsidR="00741FC7" w:rsidRPr="00F66725" w:rsidRDefault="00741FC7" w:rsidP="00741FC7">
                            <w:pPr>
                              <w:pStyle w:val="paragraph"/>
                              <w:spacing w:before="0" w:beforeAutospacing="0" w:after="120" w:afterAutospacing="0" w:line="259" w:lineRule="auto"/>
                              <w:ind w:left="360"/>
                              <w:textAlignment w:val="baseline"/>
                              <w:rPr>
                                <w:rFonts w:ascii="Arial" w:hAnsi="Arial" w:cs="Arial"/>
                                <w:color w:val="FFFFFF" w:themeColor="background1"/>
                                <w:sz w:val="20"/>
                                <w:szCs w:val="20"/>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9AC59" id="_x0000_s1062" type="#_x0000_t202" alt="£63m – HRG formula&#10;Part A: £47.9m&#10;o Funding is allocated regionally based on different sub-formulas using RO4 homelessness expenditure data and H-CLIC data on number of people with duty owed and main duty acceptances&#10;o Funding is distributed to individual authorities using ONS midyear population estimates and Index of Multiple Deprivation average scores&#10;Part B: 15m&#10;o Funding is allocated regionally using: 15 * total net homelessness expenditure / total net homelessness expenditure in England&#10;o Funding is distributed to individual authorities using ONS midyear population estimates and Index of Multiple Deprivation average scores" style="position:absolute;margin-left:-35.7pt;margin-top:347.25pt;width:366.6pt;height:272.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" fillcolor="#c0504d [3205]" stroked="f">
                <v:fill opacity="32896f"/>
                <v:textbox>
                  <w:txbxContent>
                    <w:p w14:paraId="2FF2FA7B" w14:textId="144233BA" w:rsidR="00741FC7" w:rsidRPr="00E314C6" w:rsidRDefault="00741FC7" w:rsidP="00E314C6">
                      <w:pPr>
                        <w:pStyle w:val="paragraph"/>
                        <w:jc w:val="both"/>
                        <w:textAlignment w:val="baseline"/>
                        <w:rPr>
                          <w:rFonts w:ascii="Arial" w:hAnsi="Arial" w:cs="Arial"/>
                          <w:b/>
                          <w:color w:val="FFFFFF" w:themeColor="background1"/>
                          <w:sz w:val="32"/>
                          <w:szCs w:val="32"/>
                          <w:u w:val="single"/>
                          <w14:textOutline w14:w="9525" w14:cap="rnd" w14:cmpd="sng" w14:algn="ctr">
                            <w14:noFill/>
                            <w14:prstDash w14:val="solid"/>
                            <w14:bevel/>
                          </w14:textOutline>
                        </w:rPr>
                      </w:pPr>
                      <w:r w:rsidRPr="00E314C6">
                        <w:rPr>
                          <w:rStyle w:val="normaltextrun"/>
                          <w:rFonts w:ascii="Arial" w:hAnsi="Arial" w:cs="Arial"/>
                          <w:b/>
                          <w:color w:val="FFFFFF" w:themeColor="background1"/>
                          <w:sz w:val="32"/>
                          <w:szCs w:val="32"/>
                          <w:u w:val="single"/>
                          <w14:textOutline w14:w="9525" w14:cap="rnd" w14:cmpd="sng" w14:algn="ctr">
                            <w14:noFill/>
                            <w14:prstDash w14:val="solid"/>
                            <w14:bevel/>
                          </w14:textOutline>
                        </w:rPr>
                        <w:t>£63m – HRG formula</w:t>
                      </w:r>
                    </w:p>
                    <w:p w14:paraId="17801B33" w14:textId="77777777" w:rsidR="00741FC7" w:rsidRPr="00A14D51" w:rsidRDefault="00741FC7" w:rsidP="00741FC7">
                      <w:pPr>
                        <w:pStyle w:val="paragraph"/>
                        <w:spacing w:before="0" w:beforeAutospacing="0" w:after="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Part A: £47.9m</w:t>
                      </w:r>
                    </w:p>
                    <w:p w14:paraId="649210C2" w14:textId="56F8F14D" w:rsidR="00A06413" w:rsidRPr="0094451D" w:rsidRDefault="00741FC7" w:rsidP="00A06413">
                      <w:pPr>
                        <w:pStyle w:val="Default"/>
                        <w:spacing w:after="120" w:line="259" w:lineRule="auto"/>
                        <w:rPr>
                          <w:rFonts w:ascii="Arial" w:eastAsia="Arial" w:hAnsi="Arial" w:cs="Arial"/>
                        </w:rPr>
                      </w:pPr>
                      <w:r w:rsidRPr="00A14D51">
                        <w:rPr>
                          <w:rFonts w:ascii="Arial" w:hAnsi="Arial" w:cs="Arial"/>
                          <w:color w:val="FFFFFF" w:themeColor="background1"/>
                          <w:sz w:val="22"/>
                          <w:szCs w:val="22"/>
                          <w14:textOutline w14:w="9525" w14:cap="rnd" w14:cmpd="sng" w14:algn="ctr">
                            <w14:noFill/>
                            <w14:prstDash w14:val="solid"/>
                            <w14:bevel/>
                          </w14:textOutline>
                        </w:rPr>
                        <w:t>Funding is allocated regionally based on different sub-formulas using RO4 homelessness expenditure data</w:t>
                      </w:r>
                      <w:r w:rsidR="00A06413" w:rsidRPr="00A06413">
                        <w:rPr>
                          <w:rFonts w:ascii="Arial" w:hAnsi="Arial" w:cs="Arial"/>
                          <w:color w:val="FFFFFF" w:themeColor="background1"/>
                          <w:sz w:val="22"/>
                          <w:szCs w:val="22"/>
                          <w14:textOutline w14:w="9525" w14:cap="rnd" w14:cmpd="sng" w14:algn="ctr">
                            <w14:noFill/>
                            <w14:prstDash w14:val="solid"/>
                            <w14:bevel/>
                          </w14:textOutline>
                        </w:rPr>
                        <w:t xml:space="preserve"> </w:t>
                      </w:r>
                      <w:r w:rsidR="00A06413" w:rsidRPr="00A06413">
                        <w:rPr>
                          <w:rFonts w:ascii="Arial" w:hAnsi="Arial" w:cs="Arial"/>
                          <w:color w:val="FFFFFF" w:themeColor="background1"/>
                          <w:sz w:val="28"/>
                          <w:szCs w:val="28"/>
                          <w14:textOutline w14:w="9525" w14:cap="rnd" w14:cmpd="sng" w14:algn="ctr">
                            <w14:noFill/>
                            <w14:prstDash w14:val="solid"/>
                            <w14:bevel/>
                          </w14:textOutline>
                        </w:rPr>
                        <w:t>(</w:t>
                      </w:r>
                      <w:r w:rsidR="00A06413" w:rsidRPr="00A06413">
                        <w:rPr>
                          <w:rFonts w:ascii="Arial" w:eastAsia="Arial" w:hAnsi="Arial" w:cs="Arial"/>
                          <w:color w:val="FFFFFF" w:themeColor="background1"/>
                          <w:sz w:val="22"/>
                          <w:szCs w:val="22"/>
                        </w:rPr>
                        <w:t>DLUHC Local authority revenue expenditure and financing, revenue outturn housing services)</w:t>
                      </w:r>
                    </w:p>
                    <w:p w14:paraId="28A03730" w14:textId="5299D305" w:rsidR="00741FC7" w:rsidRPr="00A14D51" w:rsidRDefault="00741FC7" w:rsidP="00741FC7">
                      <w:pPr>
                        <w:pStyle w:val="paragraph"/>
                        <w:numPr>
                          <w:ilvl w:val="0"/>
                          <w:numId w:val="19"/>
                        </w:numPr>
                        <w:spacing w:before="0" w:beforeAutospacing="0" w:after="12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and H-CLIC data on number of people with duty owed and main duty acceptances</w:t>
                      </w:r>
                    </w:p>
                    <w:p w14:paraId="2572071A" w14:textId="77777777" w:rsidR="00741FC7" w:rsidRPr="00A14D51" w:rsidRDefault="00741FC7" w:rsidP="00741FC7">
                      <w:pPr>
                        <w:pStyle w:val="paragraph"/>
                        <w:numPr>
                          <w:ilvl w:val="0"/>
                          <w:numId w:val="19"/>
                        </w:numPr>
                        <w:spacing w:before="0" w:beforeAutospacing="0" w:after="12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Funding is distributed to individual authorities using ONS midyear population estimates and Index of Multiple Deprivation average scores</w:t>
                      </w:r>
                    </w:p>
                    <w:p w14:paraId="2287420B" w14:textId="77777777" w:rsidR="00741FC7" w:rsidRPr="00A14D51" w:rsidRDefault="00741FC7" w:rsidP="00741FC7">
                      <w:pPr>
                        <w:pStyle w:val="paragraph"/>
                        <w:spacing w:before="0" w:beforeAutospacing="0" w:after="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Part B: 15m</w:t>
                      </w:r>
                    </w:p>
                    <w:p w14:paraId="39FD726B" w14:textId="77777777" w:rsidR="00741FC7" w:rsidRPr="00A14D51" w:rsidRDefault="00741FC7" w:rsidP="00741FC7">
                      <w:pPr>
                        <w:pStyle w:val="paragraph"/>
                        <w:numPr>
                          <w:ilvl w:val="0"/>
                          <w:numId w:val="20"/>
                        </w:numPr>
                        <w:spacing w:before="0" w:beforeAutospacing="0" w:after="12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Funding is allocated regionally using: 15 * total net homelessness expenditure / total net homelessness expenditure in England</w:t>
                      </w:r>
                    </w:p>
                    <w:p w14:paraId="4B1B4538" w14:textId="77777777" w:rsidR="00741FC7" w:rsidRPr="00A14D51" w:rsidRDefault="00741FC7" w:rsidP="00741FC7">
                      <w:pPr>
                        <w:pStyle w:val="paragraph"/>
                        <w:numPr>
                          <w:ilvl w:val="0"/>
                          <w:numId w:val="20"/>
                        </w:numPr>
                        <w:spacing w:before="0" w:beforeAutospacing="0" w:after="12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Fonts w:ascii="Arial" w:hAnsi="Arial" w:cs="Arial"/>
                          <w:color w:val="FFFFFF" w:themeColor="background1"/>
                          <w:sz w:val="22"/>
                          <w:szCs w:val="22"/>
                          <w14:textOutline w14:w="9525" w14:cap="rnd" w14:cmpd="sng" w14:algn="ctr">
                            <w14:noFill/>
                            <w14:prstDash w14:val="solid"/>
                            <w14:bevel/>
                          </w14:textOutline>
                        </w:rPr>
                        <w:t>Funding is distributed to individual authorities using ONS midyear population estimates and Index of Multiple Deprivation average scores</w:t>
                      </w:r>
                    </w:p>
                    <w:p w14:paraId="703B40B8" w14:textId="77777777" w:rsidR="00741FC7" w:rsidRPr="00F66725" w:rsidRDefault="00741FC7" w:rsidP="00741FC7">
                      <w:pPr>
                        <w:pStyle w:val="paragraph"/>
                        <w:spacing w:after="120"/>
                        <w:jc w:val="center"/>
                        <w:textAlignment w:val="baseline"/>
                        <w:rPr>
                          <w:rFonts w:ascii="Arial" w:hAnsi="Arial" w:cs="Arial"/>
                          <w:b/>
                          <w:color w:val="FFFFFF" w:themeColor="background1"/>
                          <w:sz w:val="32"/>
                          <w:szCs w:val="32"/>
                          <w:u w:val="single"/>
                          <w14:textOutline w14:w="9525" w14:cap="rnd" w14:cmpd="sng" w14:algn="ctr">
                            <w14:noFill/>
                            <w14:prstDash w14:val="solid"/>
                            <w14:bevel/>
                          </w14:textOutline>
                        </w:rPr>
                      </w:pPr>
                    </w:p>
                    <w:p w14:paraId="2C2EC8B5" w14:textId="77777777" w:rsidR="00741FC7" w:rsidRPr="00F66725" w:rsidRDefault="00741FC7" w:rsidP="00741FC7">
                      <w:pPr>
                        <w:pStyle w:val="paragraph"/>
                        <w:spacing w:before="0" w:beforeAutospacing="0" w:after="120" w:afterAutospacing="0" w:line="259" w:lineRule="auto"/>
                        <w:ind w:left="360"/>
                        <w:textAlignment w:val="baseline"/>
                        <w:rPr>
                          <w:rFonts w:ascii="Arial" w:hAnsi="Arial" w:cs="Arial"/>
                          <w:color w:val="FFFFFF" w:themeColor="background1"/>
                          <w:sz w:val="20"/>
                          <w:szCs w:val="20"/>
                          <w14:textOutline w14:w="9525" w14:cap="rnd" w14:cmpd="sng" w14:algn="ctr">
                            <w14:noFill/>
                            <w14:prstDash w14:val="solid"/>
                            <w14:bevel/>
                          </w14:textOutline>
                        </w:rPr>
                      </w:pPr>
                    </w:p>
                  </w:txbxContent>
                </v:textbox>
                <w10:wrap type="square"/>
              </v:shape>
            </w:pict>
          </mc:Fallback>
        </mc:AlternateContent>
      </w:r>
      <w:r w:rsidR="00A14D51" w:rsidRPr="00BF2A6A">
        <w:rPr>
          <w:noProof/>
          <w:u w:val="single"/>
        </w:rPr>
        <w:drawing>
          <wp:anchor distT="0" distB="0" distL="114300" distR="114300" simplePos="0" relativeHeight="251658244" behindDoc="1" locked="0" layoutInCell="1" allowOverlap="1" wp14:anchorId="07528CDD" wp14:editId="5589B159">
            <wp:simplePos x="0" y="0"/>
            <wp:positionH relativeFrom="column">
              <wp:posOffset>-452755</wp:posOffset>
            </wp:positionH>
            <wp:positionV relativeFrom="paragraph">
              <wp:posOffset>344805</wp:posOffset>
            </wp:positionV>
            <wp:extent cx="3241675" cy="3998595"/>
            <wp:effectExtent l="38100" t="0" r="53975" b="1905"/>
            <wp:wrapTight wrapText="bothSides">
              <wp:wrapPolygon edited="0">
                <wp:start x="-254" y="0"/>
                <wp:lineTo x="-254" y="21507"/>
                <wp:lineTo x="21833" y="21507"/>
                <wp:lineTo x="21833" y="0"/>
                <wp:lineTo x="-254" y="0"/>
              </wp:wrapPolygon>
            </wp:wrapTight>
            <wp:docPr id="37" name="Chart 37" descr="Piechart diagram showing the current HPG funding formula broken down into three segments: £63m (allocated in the same way as the Homelessness Reduction Grant), £47m (allocated in the same way as the HRA uplift - a relative estimate of pressures), £200m (allocated in the same way as the Flexible Homelessness Support Gra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A14D51" w:rsidRPr="00BF2A6A">
        <w:rPr>
          <w:noProof/>
          <w:u w:val="single"/>
        </w:rPr>
        <mc:AlternateContent>
          <mc:Choice Requires="wps">
            <w:drawing>
              <wp:anchor distT="45720" distB="45720" distL="114300" distR="114300" simplePos="0" relativeHeight="251658245" behindDoc="0" locked="0" layoutInCell="1" allowOverlap="1" wp14:anchorId="6C6E4A1B" wp14:editId="484F2010">
                <wp:simplePos x="0" y="0"/>
                <wp:positionH relativeFrom="column">
                  <wp:posOffset>2851150</wp:posOffset>
                </wp:positionH>
                <wp:positionV relativeFrom="paragraph">
                  <wp:posOffset>345440</wp:posOffset>
                </wp:positionV>
                <wp:extent cx="3851910" cy="4010025"/>
                <wp:effectExtent l="0" t="0" r="0" b="9525"/>
                <wp:wrapSquare wrapText="bothSides"/>
                <wp:docPr id="217" name="Text Box 2" descr="£200m – FHSG formula&#10;Number of case acceptances&#10;+&#10;Number of prevention and relief cases which ended with a private rented sector tenancy (using projections from March 2017 DLUHC data)&#10;Applying the following adjustments:&#10;o accounting for private sector rental costs in different areas.  &#10;o ensuring a minimum allocation level of £40,000. &#10;o ensuring no authority receives less than 75% of what we estimate they would have received under the DWP Temporary Accommodation Management Fee (TAMF) in 2019/20 (DLUHC Homelessness data for the financial year 2016/17 is used to estimate levels of the DWP fee, then projected into the future based on current trend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4010025"/>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3930BDF" w14:textId="77777777" w:rsidR="00BF2A6A" w:rsidRPr="00F66725" w:rsidRDefault="00BF2A6A" w:rsidP="00E272FB">
                            <w:pPr>
                              <w:pStyle w:val="paragraph"/>
                              <w:spacing w:after="120"/>
                              <w:textAlignment w:val="baseline"/>
                              <w:rPr>
                                <w:rFonts w:ascii="Arial" w:hAnsi="Arial" w:cs="Arial"/>
                                <w:b/>
                                <w:color w:val="FFFFFF" w:themeColor="background1"/>
                                <w:sz w:val="32"/>
                                <w:szCs w:val="32"/>
                                <w:u w:val="single"/>
                                <w14:textOutline w14:w="9525" w14:cap="rnd" w14:cmpd="sng" w14:algn="ctr">
                                  <w14:noFill/>
                                  <w14:prstDash w14:val="solid"/>
                                  <w14:bevel/>
                                </w14:textOutline>
                              </w:rPr>
                            </w:pPr>
                            <w:r w:rsidRPr="00F66725">
                              <w:rPr>
                                <w:rStyle w:val="normaltextrun"/>
                                <w:rFonts w:ascii="Arial" w:hAnsi="Arial" w:cs="Arial"/>
                                <w:b/>
                                <w:color w:val="FFFFFF" w:themeColor="background1"/>
                                <w:sz w:val="32"/>
                                <w:szCs w:val="32"/>
                                <w:u w:val="single"/>
                                <w14:textOutline w14:w="9525" w14:cap="rnd" w14:cmpd="sng" w14:algn="ctr">
                                  <w14:noFill/>
                                  <w14:prstDash w14:val="solid"/>
                                  <w14:bevel/>
                                </w14:textOutline>
                              </w:rPr>
                              <w:t>£200m – FHSG formula</w:t>
                            </w:r>
                          </w:p>
                          <w:p w14:paraId="1B3B5875" w14:textId="77777777" w:rsidR="00BF2A6A" w:rsidRPr="00A14D51" w:rsidRDefault="00BF2A6A" w:rsidP="00BF2A6A">
                            <w:pPr>
                              <w:pStyle w:val="paragraph"/>
                              <w:spacing w:after="120" w:afterAutospacing="0"/>
                              <w:jc w:val="center"/>
                              <w:textAlignment w:val="baseline"/>
                              <w:rPr>
                                <w:rStyle w:val="normaltextrun"/>
                                <w:rFonts w:ascii="Arial" w:hAnsi="Arial" w:cs="Arial"/>
                                <w:bCs/>
                                <w:color w:val="FFFFFF" w:themeColor="background1"/>
                                <w:sz w:val="22"/>
                                <w:szCs w:val="22"/>
                                <w14:textOutline w14:w="9525" w14:cap="rnd" w14:cmpd="sng" w14:algn="ctr">
                                  <w14:noFill/>
                                  <w14:prstDash w14:val="solid"/>
                                  <w14:bevel/>
                                </w14:textOutline>
                              </w:rPr>
                            </w:pPr>
                            <w:r w:rsidRPr="00A14D51">
                              <w:rPr>
                                <w:rStyle w:val="normaltextrun"/>
                                <w:rFonts w:ascii="Arial" w:hAnsi="Arial" w:cs="Arial"/>
                                <w:bCs/>
                                <w:color w:val="FFFFFF" w:themeColor="background1"/>
                                <w:sz w:val="22"/>
                                <w:szCs w:val="22"/>
                                <w14:textOutline w14:w="9525" w14:cap="rnd" w14:cmpd="sng" w14:algn="ctr">
                                  <w14:noFill/>
                                  <w14:prstDash w14:val="solid"/>
                                  <w14:bevel/>
                                </w14:textOutline>
                              </w:rPr>
                              <w:t>Number of case acceptances</w:t>
                            </w:r>
                          </w:p>
                          <w:p w14:paraId="4EBD504D" w14:textId="77777777" w:rsidR="00BF2A6A" w:rsidRPr="00A14D51" w:rsidRDefault="00BF2A6A" w:rsidP="00BF2A6A">
                            <w:pPr>
                              <w:pStyle w:val="paragraph"/>
                              <w:jc w:val="center"/>
                              <w:textAlignment w:val="baseline"/>
                              <w:rPr>
                                <w:rStyle w:val="normaltextrun"/>
                                <w:rFonts w:ascii="Arial" w:hAnsi="Arial" w:cs="Arial"/>
                                <w:bCs/>
                                <w:color w:val="FFFFFF" w:themeColor="background1"/>
                                <w:sz w:val="22"/>
                                <w:szCs w:val="22"/>
                                <w14:textOutline w14:w="9525" w14:cap="rnd" w14:cmpd="sng" w14:algn="ctr">
                                  <w14:noFill/>
                                  <w14:prstDash w14:val="solid"/>
                                  <w14:bevel/>
                                </w14:textOutline>
                              </w:rPr>
                            </w:pPr>
                            <w:r w:rsidRPr="00A14D51">
                              <w:rPr>
                                <w:rStyle w:val="normaltextrun"/>
                                <w:rFonts w:ascii="Arial" w:hAnsi="Arial" w:cs="Arial"/>
                                <w:bCs/>
                                <w:color w:val="FFFFFF" w:themeColor="background1"/>
                                <w:sz w:val="22"/>
                                <w:szCs w:val="22"/>
                                <w14:textOutline w14:w="9525" w14:cap="rnd" w14:cmpd="sng" w14:algn="ctr">
                                  <w14:noFill/>
                                  <w14:prstDash w14:val="solid"/>
                                  <w14:bevel/>
                                </w14:textOutline>
                              </w:rPr>
                              <w:t>+</w:t>
                            </w:r>
                          </w:p>
                          <w:p w14:paraId="4FBE84F8" w14:textId="5601AD06" w:rsidR="00BF2A6A" w:rsidRPr="00A14D51" w:rsidRDefault="00BF2A6A" w:rsidP="00BF2A6A">
                            <w:pPr>
                              <w:pStyle w:val="paragraph"/>
                              <w:jc w:val="center"/>
                              <w:textAlignment w:val="baseline"/>
                              <w:rPr>
                                <w:rFonts w:ascii="Arial" w:hAnsi="Arial" w:cs="Arial"/>
                                <w:bCs/>
                                <w:color w:val="FFFFFF" w:themeColor="background1"/>
                                <w:sz w:val="22"/>
                                <w:szCs w:val="22"/>
                                <w14:textOutline w14:w="9525" w14:cap="rnd" w14:cmpd="sng" w14:algn="ctr">
                                  <w14:noFill/>
                                  <w14:prstDash w14:val="solid"/>
                                  <w14:bevel/>
                                </w14:textOutline>
                              </w:rPr>
                            </w:pPr>
                            <w:r w:rsidRPr="00A14D51">
                              <w:rPr>
                                <w:rStyle w:val="normaltextrun"/>
                                <w:rFonts w:ascii="Arial" w:hAnsi="Arial" w:cs="Arial"/>
                                <w:bCs/>
                                <w:color w:val="FFFFFF" w:themeColor="background1"/>
                                <w:sz w:val="22"/>
                                <w:szCs w:val="22"/>
                                <w14:textOutline w14:w="9525" w14:cap="rnd" w14:cmpd="sng" w14:algn="ctr">
                                  <w14:noFill/>
                                  <w14:prstDash w14:val="solid"/>
                                  <w14:bevel/>
                                </w14:textOutline>
                              </w:rPr>
                              <w:t xml:space="preserve">Number of prevention and relief cases which ended with a private rented sector tenancy (using projections from March 2017 </w:t>
                            </w:r>
                            <w:r w:rsidR="00125AF3" w:rsidRPr="00A14D51">
                              <w:rPr>
                                <w:rStyle w:val="normaltextrun"/>
                                <w:rFonts w:ascii="Arial" w:hAnsi="Arial" w:cs="Arial"/>
                                <w:bCs/>
                                <w:color w:val="FFFFFF" w:themeColor="background1"/>
                                <w:sz w:val="22"/>
                                <w:szCs w:val="22"/>
                                <w14:textOutline w14:w="9525" w14:cap="rnd" w14:cmpd="sng" w14:algn="ctr">
                                  <w14:noFill/>
                                  <w14:prstDash w14:val="solid"/>
                                  <w14:bevel/>
                                </w14:textOutline>
                              </w:rPr>
                              <w:t xml:space="preserve">DLUHC </w:t>
                            </w:r>
                            <w:r w:rsidRPr="00A14D51">
                              <w:rPr>
                                <w:rStyle w:val="normaltextrun"/>
                                <w:rFonts w:ascii="Arial" w:hAnsi="Arial" w:cs="Arial"/>
                                <w:bCs/>
                                <w:color w:val="FFFFFF" w:themeColor="background1"/>
                                <w:sz w:val="22"/>
                                <w:szCs w:val="22"/>
                                <w14:textOutline w14:w="9525" w14:cap="rnd" w14:cmpd="sng" w14:algn="ctr">
                                  <w14:noFill/>
                                  <w14:prstDash w14:val="solid"/>
                                  <w14:bevel/>
                                </w14:textOutline>
                              </w:rPr>
                              <w:t>data)</w:t>
                            </w:r>
                          </w:p>
                          <w:p w14:paraId="5B00069E" w14:textId="77777777" w:rsidR="00BF2A6A" w:rsidRPr="00A14D51" w:rsidRDefault="00BF2A6A" w:rsidP="00BF2A6A">
                            <w:pPr>
                              <w:pStyle w:val="paragraph"/>
                              <w:spacing w:after="120" w:afterAutospacing="0"/>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Style w:val="normaltextrun"/>
                                <w:rFonts w:ascii="Arial" w:hAnsi="Arial" w:cs="Arial"/>
                                <w:color w:val="FFFFFF" w:themeColor="background1"/>
                                <w:sz w:val="22"/>
                                <w:szCs w:val="22"/>
                                <w14:textOutline w14:w="9525" w14:cap="rnd" w14:cmpd="sng" w14:algn="ctr">
                                  <w14:noFill/>
                                  <w14:prstDash w14:val="solid"/>
                                  <w14:bevel/>
                                </w14:textOutline>
                              </w:rPr>
                              <w:t>Applying the following adjustments:</w:t>
                            </w:r>
                          </w:p>
                          <w:p w14:paraId="2B0AC426" w14:textId="0B711143" w:rsidR="00BF2A6A" w:rsidRPr="00A14D51" w:rsidRDefault="00BF2A6A" w:rsidP="00313243">
                            <w:pPr>
                              <w:pStyle w:val="paragraph"/>
                              <w:numPr>
                                <w:ilvl w:val="0"/>
                                <w:numId w:val="14"/>
                              </w:numPr>
                              <w:spacing w:before="0" w:beforeAutospacing="0" w:after="12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Style w:val="normaltextrun"/>
                                <w:rFonts w:ascii="Arial" w:hAnsi="Arial" w:cs="Arial"/>
                                <w:color w:val="FFFFFF" w:themeColor="background1"/>
                                <w:sz w:val="22"/>
                                <w:szCs w:val="22"/>
                                <w14:textOutline w14:w="9525" w14:cap="rnd" w14:cmpd="sng" w14:algn="ctr">
                                  <w14:noFill/>
                                  <w14:prstDash w14:val="solid"/>
                                  <w14:bevel/>
                                </w14:textOutline>
                              </w:rPr>
                              <w:t>accounting for private sector rental costs in different areas</w:t>
                            </w:r>
                          </w:p>
                          <w:p w14:paraId="5713BD18" w14:textId="2A7D7230" w:rsidR="00BF2A6A" w:rsidRPr="00A14D51" w:rsidRDefault="00BF2A6A" w:rsidP="00313243">
                            <w:pPr>
                              <w:pStyle w:val="paragraph"/>
                              <w:numPr>
                                <w:ilvl w:val="0"/>
                                <w:numId w:val="14"/>
                              </w:numPr>
                              <w:spacing w:before="0" w:beforeAutospacing="0" w:after="120" w:afterAutospacing="0" w:line="259" w:lineRule="auto"/>
                              <w:textAlignment w:val="baseline"/>
                              <w:rPr>
                                <w:rStyle w:val="eop"/>
                                <w:rFonts w:ascii="Arial" w:hAnsi="Arial" w:cs="Arial"/>
                                <w:color w:val="FFFFFF" w:themeColor="background1"/>
                                <w:sz w:val="22"/>
                                <w:szCs w:val="22"/>
                                <w14:textOutline w14:w="9525" w14:cap="rnd" w14:cmpd="sng" w14:algn="ctr">
                                  <w14:noFill/>
                                  <w14:prstDash w14:val="solid"/>
                                  <w14:bevel/>
                                </w14:textOutline>
                              </w:rPr>
                            </w:pPr>
                            <w:r w:rsidRPr="00A14D51">
                              <w:rPr>
                                <w:rStyle w:val="normaltextrun"/>
                                <w:rFonts w:ascii="Arial" w:hAnsi="Arial" w:cs="Arial"/>
                                <w:color w:val="FFFFFF" w:themeColor="background1"/>
                                <w:sz w:val="22"/>
                                <w:szCs w:val="22"/>
                                <w14:textOutline w14:w="9525" w14:cap="rnd" w14:cmpd="sng" w14:algn="ctr">
                                  <w14:noFill/>
                                  <w14:prstDash w14:val="solid"/>
                                  <w14:bevel/>
                                </w14:textOutline>
                              </w:rPr>
                              <w:t>ensuring a minimum allocation level of £40,00</w:t>
                            </w:r>
                            <w:r w:rsidR="00A06413">
                              <w:rPr>
                                <w:rStyle w:val="normaltextrun"/>
                                <w:rFonts w:ascii="Arial" w:hAnsi="Arial" w:cs="Arial"/>
                                <w:color w:val="FFFFFF" w:themeColor="background1"/>
                                <w:sz w:val="22"/>
                                <w:szCs w:val="22"/>
                                <w14:textOutline w14:w="9525" w14:cap="rnd" w14:cmpd="sng" w14:algn="ctr">
                                  <w14:noFill/>
                                  <w14:prstDash w14:val="solid"/>
                                  <w14:bevel/>
                                </w14:textOutline>
                              </w:rPr>
                              <w:t>0</w:t>
                            </w:r>
                            <w:r w:rsidRPr="00A14D51">
                              <w:rPr>
                                <w:rStyle w:val="eop"/>
                                <w:rFonts w:ascii="Arial" w:hAnsi="Arial" w:cs="Arial"/>
                                <w:color w:val="FFFFFF" w:themeColor="background1"/>
                                <w:sz w:val="22"/>
                                <w:szCs w:val="22"/>
                                <w14:textOutline w14:w="9525" w14:cap="rnd" w14:cmpd="sng" w14:algn="ctr">
                                  <w14:noFill/>
                                  <w14:prstDash w14:val="solid"/>
                                  <w14:bevel/>
                                </w14:textOutline>
                              </w:rPr>
                              <w:t> </w:t>
                            </w:r>
                          </w:p>
                          <w:p w14:paraId="2B4A3303" w14:textId="19579952" w:rsidR="00BF2A6A" w:rsidRPr="00A14D51" w:rsidRDefault="00BF2A6A" w:rsidP="00313243">
                            <w:pPr>
                              <w:pStyle w:val="paragraph"/>
                              <w:numPr>
                                <w:ilvl w:val="0"/>
                                <w:numId w:val="14"/>
                              </w:numPr>
                              <w:spacing w:before="0" w:beforeAutospacing="0" w:after="12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Style w:val="eop"/>
                                <w:rFonts w:ascii="Arial" w:hAnsi="Arial" w:cs="Arial"/>
                                <w:color w:val="FFFFFF" w:themeColor="background1"/>
                                <w:sz w:val="22"/>
                                <w:szCs w:val="22"/>
                                <w14:textOutline w14:w="9525" w14:cap="rnd" w14:cmpd="sng" w14:algn="ctr">
                                  <w14:noFill/>
                                  <w14:prstDash w14:val="solid"/>
                                  <w14:bevel/>
                                </w14:textOutline>
                              </w:rPr>
                              <w:t>ensuring no authority receives less than 75% of what we estimate they would have received under the DWP Temporary Accommodation Management Fee (TAMF) in 2019/20 (</w:t>
                            </w:r>
                            <w:r w:rsidR="00125AF3" w:rsidRPr="00A14D51">
                              <w:rPr>
                                <w:rStyle w:val="eop"/>
                                <w:rFonts w:ascii="Arial" w:hAnsi="Arial" w:cs="Arial"/>
                                <w:color w:val="FFFFFF" w:themeColor="background1"/>
                                <w:sz w:val="22"/>
                                <w:szCs w:val="22"/>
                                <w14:textOutline w14:w="9525" w14:cap="rnd" w14:cmpd="sng" w14:algn="ctr">
                                  <w14:noFill/>
                                  <w14:prstDash w14:val="solid"/>
                                  <w14:bevel/>
                                </w14:textOutline>
                              </w:rPr>
                              <w:t xml:space="preserve">DLUHC </w:t>
                            </w:r>
                            <w:r w:rsidRPr="00A14D51">
                              <w:rPr>
                                <w:rStyle w:val="eop"/>
                                <w:rFonts w:ascii="Arial" w:hAnsi="Arial" w:cs="Arial"/>
                                <w:color w:val="FFFFFF" w:themeColor="background1"/>
                                <w:sz w:val="22"/>
                                <w:szCs w:val="22"/>
                                <w14:textOutline w14:w="9525" w14:cap="rnd" w14:cmpd="sng" w14:algn="ctr">
                                  <w14:noFill/>
                                  <w14:prstDash w14:val="solid"/>
                                  <w14:bevel/>
                                </w14:textOutline>
                              </w:rPr>
                              <w:t>Homelessness data for the financial year 2016/17 is used to estimate levels of the DWP fee, then projected into the future based on current trends)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E4A1B" id="_x0000_s1063" type="#_x0000_t202" alt="£200m – FHSG formula&#10;Number of case acceptances&#10;+&#10;Number of prevention and relief cases which ended with a private rented sector tenancy (using projections from March 2017 DLUHC data)&#10;Applying the following adjustments:&#10;o accounting for private sector rental costs in different areas.  &#10;o ensuring a minimum allocation level of £40,000. &#10;o ensuring no authority receives less than 75% of what we estimate they would have received under the DWP Temporary Accommodation Management Fee (TAMF) in 2019/20 (DLUHC Homelessness data for the financial year 2016/17 is used to estimate levels of the DWP fee, then projected into the future based on current trends)&#10;" style="position:absolute;margin-left:224.5pt;margin-top:27.2pt;width:303.3pt;height:315.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" fillcolor="#4f81bd [3204]" stroked="f">
                <v:fill opacity="32896f"/>
                <v:textbox>
                  <w:txbxContent>
                    <w:p w14:paraId="63930BDF" w14:textId="77777777" w:rsidR="00BF2A6A" w:rsidRPr="00F66725" w:rsidRDefault="00BF2A6A" w:rsidP="00E272FB">
                      <w:pPr>
                        <w:pStyle w:val="paragraph"/>
                        <w:spacing w:after="120"/>
                        <w:textAlignment w:val="baseline"/>
                        <w:rPr>
                          <w:rFonts w:ascii="Arial" w:hAnsi="Arial" w:cs="Arial"/>
                          <w:b/>
                          <w:color w:val="FFFFFF" w:themeColor="background1"/>
                          <w:sz w:val="32"/>
                          <w:szCs w:val="32"/>
                          <w:u w:val="single"/>
                          <w14:textOutline w14:w="9525" w14:cap="rnd" w14:cmpd="sng" w14:algn="ctr">
                            <w14:noFill/>
                            <w14:prstDash w14:val="solid"/>
                            <w14:bevel/>
                          </w14:textOutline>
                        </w:rPr>
                      </w:pPr>
                      <w:r w:rsidRPr="00F66725">
                        <w:rPr>
                          <w:rStyle w:val="normaltextrun"/>
                          <w:rFonts w:ascii="Arial" w:hAnsi="Arial" w:cs="Arial"/>
                          <w:b/>
                          <w:color w:val="FFFFFF" w:themeColor="background1"/>
                          <w:sz w:val="32"/>
                          <w:szCs w:val="32"/>
                          <w:u w:val="single"/>
                          <w14:textOutline w14:w="9525" w14:cap="rnd" w14:cmpd="sng" w14:algn="ctr">
                            <w14:noFill/>
                            <w14:prstDash w14:val="solid"/>
                            <w14:bevel/>
                          </w14:textOutline>
                        </w:rPr>
                        <w:t>£200m – FHSG formula</w:t>
                      </w:r>
                    </w:p>
                    <w:p w14:paraId="1B3B5875" w14:textId="77777777" w:rsidR="00BF2A6A" w:rsidRPr="00A14D51" w:rsidRDefault="00BF2A6A" w:rsidP="00BF2A6A">
                      <w:pPr>
                        <w:pStyle w:val="paragraph"/>
                        <w:spacing w:after="120" w:afterAutospacing="0"/>
                        <w:jc w:val="center"/>
                        <w:textAlignment w:val="baseline"/>
                        <w:rPr>
                          <w:rStyle w:val="normaltextrun"/>
                          <w:rFonts w:ascii="Arial" w:hAnsi="Arial" w:cs="Arial"/>
                          <w:bCs/>
                          <w:color w:val="FFFFFF" w:themeColor="background1"/>
                          <w:sz w:val="22"/>
                          <w:szCs w:val="22"/>
                          <w14:textOutline w14:w="9525" w14:cap="rnd" w14:cmpd="sng" w14:algn="ctr">
                            <w14:noFill/>
                            <w14:prstDash w14:val="solid"/>
                            <w14:bevel/>
                          </w14:textOutline>
                        </w:rPr>
                      </w:pPr>
                      <w:r w:rsidRPr="00A14D51">
                        <w:rPr>
                          <w:rStyle w:val="normaltextrun"/>
                          <w:rFonts w:ascii="Arial" w:hAnsi="Arial" w:cs="Arial"/>
                          <w:bCs/>
                          <w:color w:val="FFFFFF" w:themeColor="background1"/>
                          <w:sz w:val="22"/>
                          <w:szCs w:val="22"/>
                          <w14:textOutline w14:w="9525" w14:cap="rnd" w14:cmpd="sng" w14:algn="ctr">
                            <w14:noFill/>
                            <w14:prstDash w14:val="solid"/>
                            <w14:bevel/>
                          </w14:textOutline>
                        </w:rPr>
                        <w:t>Number of case acceptances</w:t>
                      </w:r>
                    </w:p>
                    <w:p w14:paraId="4EBD504D" w14:textId="77777777" w:rsidR="00BF2A6A" w:rsidRPr="00A14D51" w:rsidRDefault="00BF2A6A" w:rsidP="00BF2A6A">
                      <w:pPr>
                        <w:pStyle w:val="paragraph"/>
                        <w:jc w:val="center"/>
                        <w:textAlignment w:val="baseline"/>
                        <w:rPr>
                          <w:rStyle w:val="normaltextrun"/>
                          <w:rFonts w:ascii="Arial" w:hAnsi="Arial" w:cs="Arial"/>
                          <w:bCs/>
                          <w:color w:val="FFFFFF" w:themeColor="background1"/>
                          <w:sz w:val="22"/>
                          <w:szCs w:val="22"/>
                          <w14:textOutline w14:w="9525" w14:cap="rnd" w14:cmpd="sng" w14:algn="ctr">
                            <w14:noFill/>
                            <w14:prstDash w14:val="solid"/>
                            <w14:bevel/>
                          </w14:textOutline>
                        </w:rPr>
                      </w:pPr>
                      <w:r w:rsidRPr="00A14D51">
                        <w:rPr>
                          <w:rStyle w:val="normaltextrun"/>
                          <w:rFonts w:ascii="Arial" w:hAnsi="Arial" w:cs="Arial"/>
                          <w:bCs/>
                          <w:color w:val="FFFFFF" w:themeColor="background1"/>
                          <w:sz w:val="22"/>
                          <w:szCs w:val="22"/>
                          <w14:textOutline w14:w="9525" w14:cap="rnd" w14:cmpd="sng" w14:algn="ctr">
                            <w14:noFill/>
                            <w14:prstDash w14:val="solid"/>
                            <w14:bevel/>
                          </w14:textOutline>
                        </w:rPr>
                        <w:t>+</w:t>
                      </w:r>
                    </w:p>
                    <w:p w14:paraId="4FBE84F8" w14:textId="5601AD06" w:rsidR="00BF2A6A" w:rsidRPr="00A14D51" w:rsidRDefault="00BF2A6A" w:rsidP="00BF2A6A">
                      <w:pPr>
                        <w:pStyle w:val="paragraph"/>
                        <w:jc w:val="center"/>
                        <w:textAlignment w:val="baseline"/>
                        <w:rPr>
                          <w:rFonts w:ascii="Arial" w:hAnsi="Arial" w:cs="Arial"/>
                          <w:bCs/>
                          <w:color w:val="FFFFFF" w:themeColor="background1"/>
                          <w:sz w:val="22"/>
                          <w:szCs w:val="22"/>
                          <w14:textOutline w14:w="9525" w14:cap="rnd" w14:cmpd="sng" w14:algn="ctr">
                            <w14:noFill/>
                            <w14:prstDash w14:val="solid"/>
                            <w14:bevel/>
                          </w14:textOutline>
                        </w:rPr>
                      </w:pPr>
                      <w:r w:rsidRPr="00A14D51">
                        <w:rPr>
                          <w:rStyle w:val="normaltextrun"/>
                          <w:rFonts w:ascii="Arial" w:hAnsi="Arial" w:cs="Arial"/>
                          <w:bCs/>
                          <w:color w:val="FFFFFF" w:themeColor="background1"/>
                          <w:sz w:val="22"/>
                          <w:szCs w:val="22"/>
                          <w14:textOutline w14:w="9525" w14:cap="rnd" w14:cmpd="sng" w14:algn="ctr">
                            <w14:noFill/>
                            <w14:prstDash w14:val="solid"/>
                            <w14:bevel/>
                          </w14:textOutline>
                        </w:rPr>
                        <w:t xml:space="preserve">Number of prevention and relief cases which ended with a private rented sector tenancy (using projections from March 2017 </w:t>
                      </w:r>
                      <w:r w:rsidR="00125AF3" w:rsidRPr="00A14D51">
                        <w:rPr>
                          <w:rStyle w:val="normaltextrun"/>
                          <w:rFonts w:ascii="Arial" w:hAnsi="Arial" w:cs="Arial"/>
                          <w:bCs/>
                          <w:color w:val="FFFFFF" w:themeColor="background1"/>
                          <w:sz w:val="22"/>
                          <w:szCs w:val="22"/>
                          <w14:textOutline w14:w="9525" w14:cap="rnd" w14:cmpd="sng" w14:algn="ctr">
                            <w14:noFill/>
                            <w14:prstDash w14:val="solid"/>
                            <w14:bevel/>
                          </w14:textOutline>
                        </w:rPr>
                        <w:t xml:space="preserve">DLUHC </w:t>
                      </w:r>
                      <w:r w:rsidRPr="00A14D51">
                        <w:rPr>
                          <w:rStyle w:val="normaltextrun"/>
                          <w:rFonts w:ascii="Arial" w:hAnsi="Arial" w:cs="Arial"/>
                          <w:bCs/>
                          <w:color w:val="FFFFFF" w:themeColor="background1"/>
                          <w:sz w:val="22"/>
                          <w:szCs w:val="22"/>
                          <w14:textOutline w14:w="9525" w14:cap="rnd" w14:cmpd="sng" w14:algn="ctr">
                            <w14:noFill/>
                            <w14:prstDash w14:val="solid"/>
                            <w14:bevel/>
                          </w14:textOutline>
                        </w:rPr>
                        <w:t>data)</w:t>
                      </w:r>
                    </w:p>
                    <w:p w14:paraId="5B00069E" w14:textId="77777777" w:rsidR="00BF2A6A" w:rsidRPr="00A14D51" w:rsidRDefault="00BF2A6A" w:rsidP="00BF2A6A">
                      <w:pPr>
                        <w:pStyle w:val="paragraph"/>
                        <w:spacing w:after="120" w:afterAutospacing="0"/>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Style w:val="normaltextrun"/>
                          <w:rFonts w:ascii="Arial" w:hAnsi="Arial" w:cs="Arial"/>
                          <w:color w:val="FFFFFF" w:themeColor="background1"/>
                          <w:sz w:val="22"/>
                          <w:szCs w:val="22"/>
                          <w14:textOutline w14:w="9525" w14:cap="rnd" w14:cmpd="sng" w14:algn="ctr">
                            <w14:noFill/>
                            <w14:prstDash w14:val="solid"/>
                            <w14:bevel/>
                          </w14:textOutline>
                        </w:rPr>
                        <w:t>Applying the following adjustments:</w:t>
                      </w:r>
                    </w:p>
                    <w:p w14:paraId="2B0AC426" w14:textId="0B711143" w:rsidR="00BF2A6A" w:rsidRPr="00A14D51" w:rsidRDefault="00BF2A6A" w:rsidP="00313243">
                      <w:pPr>
                        <w:pStyle w:val="paragraph"/>
                        <w:numPr>
                          <w:ilvl w:val="0"/>
                          <w:numId w:val="14"/>
                        </w:numPr>
                        <w:spacing w:before="0" w:beforeAutospacing="0" w:after="12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Style w:val="normaltextrun"/>
                          <w:rFonts w:ascii="Arial" w:hAnsi="Arial" w:cs="Arial"/>
                          <w:color w:val="FFFFFF" w:themeColor="background1"/>
                          <w:sz w:val="22"/>
                          <w:szCs w:val="22"/>
                          <w14:textOutline w14:w="9525" w14:cap="rnd" w14:cmpd="sng" w14:algn="ctr">
                            <w14:noFill/>
                            <w14:prstDash w14:val="solid"/>
                            <w14:bevel/>
                          </w14:textOutline>
                        </w:rPr>
                        <w:t>accounting for private sector rental costs in different areas</w:t>
                      </w:r>
                    </w:p>
                    <w:p w14:paraId="5713BD18" w14:textId="2A7D7230" w:rsidR="00BF2A6A" w:rsidRPr="00A14D51" w:rsidRDefault="00BF2A6A" w:rsidP="00313243">
                      <w:pPr>
                        <w:pStyle w:val="paragraph"/>
                        <w:numPr>
                          <w:ilvl w:val="0"/>
                          <w:numId w:val="14"/>
                        </w:numPr>
                        <w:spacing w:before="0" w:beforeAutospacing="0" w:after="120" w:afterAutospacing="0" w:line="259" w:lineRule="auto"/>
                        <w:textAlignment w:val="baseline"/>
                        <w:rPr>
                          <w:rStyle w:val="eop"/>
                          <w:rFonts w:ascii="Arial" w:hAnsi="Arial" w:cs="Arial"/>
                          <w:color w:val="FFFFFF" w:themeColor="background1"/>
                          <w:sz w:val="22"/>
                          <w:szCs w:val="22"/>
                          <w14:textOutline w14:w="9525" w14:cap="rnd" w14:cmpd="sng" w14:algn="ctr">
                            <w14:noFill/>
                            <w14:prstDash w14:val="solid"/>
                            <w14:bevel/>
                          </w14:textOutline>
                        </w:rPr>
                      </w:pPr>
                      <w:r w:rsidRPr="00A14D51">
                        <w:rPr>
                          <w:rStyle w:val="normaltextrun"/>
                          <w:rFonts w:ascii="Arial" w:hAnsi="Arial" w:cs="Arial"/>
                          <w:color w:val="FFFFFF" w:themeColor="background1"/>
                          <w:sz w:val="22"/>
                          <w:szCs w:val="22"/>
                          <w14:textOutline w14:w="9525" w14:cap="rnd" w14:cmpd="sng" w14:algn="ctr">
                            <w14:noFill/>
                            <w14:prstDash w14:val="solid"/>
                            <w14:bevel/>
                          </w14:textOutline>
                        </w:rPr>
                        <w:t>ensuring a minimum allocation level of £40,00</w:t>
                      </w:r>
                      <w:r w:rsidR="00A06413">
                        <w:rPr>
                          <w:rStyle w:val="normaltextrun"/>
                          <w:rFonts w:ascii="Arial" w:hAnsi="Arial" w:cs="Arial"/>
                          <w:color w:val="FFFFFF" w:themeColor="background1"/>
                          <w:sz w:val="22"/>
                          <w:szCs w:val="22"/>
                          <w14:textOutline w14:w="9525" w14:cap="rnd" w14:cmpd="sng" w14:algn="ctr">
                            <w14:noFill/>
                            <w14:prstDash w14:val="solid"/>
                            <w14:bevel/>
                          </w14:textOutline>
                        </w:rPr>
                        <w:t>0</w:t>
                      </w:r>
                      <w:r w:rsidRPr="00A14D51">
                        <w:rPr>
                          <w:rStyle w:val="eop"/>
                          <w:rFonts w:ascii="Arial" w:hAnsi="Arial" w:cs="Arial"/>
                          <w:color w:val="FFFFFF" w:themeColor="background1"/>
                          <w:sz w:val="22"/>
                          <w:szCs w:val="22"/>
                          <w14:textOutline w14:w="9525" w14:cap="rnd" w14:cmpd="sng" w14:algn="ctr">
                            <w14:noFill/>
                            <w14:prstDash w14:val="solid"/>
                            <w14:bevel/>
                          </w14:textOutline>
                        </w:rPr>
                        <w:t> </w:t>
                      </w:r>
                    </w:p>
                    <w:p w14:paraId="2B4A3303" w14:textId="19579952" w:rsidR="00BF2A6A" w:rsidRPr="00A14D51" w:rsidRDefault="00BF2A6A" w:rsidP="00313243">
                      <w:pPr>
                        <w:pStyle w:val="paragraph"/>
                        <w:numPr>
                          <w:ilvl w:val="0"/>
                          <w:numId w:val="14"/>
                        </w:numPr>
                        <w:spacing w:before="0" w:beforeAutospacing="0" w:after="12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A14D51">
                        <w:rPr>
                          <w:rStyle w:val="eop"/>
                          <w:rFonts w:ascii="Arial" w:hAnsi="Arial" w:cs="Arial"/>
                          <w:color w:val="FFFFFF" w:themeColor="background1"/>
                          <w:sz w:val="22"/>
                          <w:szCs w:val="22"/>
                          <w14:textOutline w14:w="9525" w14:cap="rnd" w14:cmpd="sng" w14:algn="ctr">
                            <w14:noFill/>
                            <w14:prstDash w14:val="solid"/>
                            <w14:bevel/>
                          </w14:textOutline>
                        </w:rPr>
                        <w:t>ensuring no authority receives less than 75% of what we estimate they would have received under the DWP Temporary Accommodation Management Fee (TAMF) in 2019/20 (</w:t>
                      </w:r>
                      <w:r w:rsidR="00125AF3" w:rsidRPr="00A14D51">
                        <w:rPr>
                          <w:rStyle w:val="eop"/>
                          <w:rFonts w:ascii="Arial" w:hAnsi="Arial" w:cs="Arial"/>
                          <w:color w:val="FFFFFF" w:themeColor="background1"/>
                          <w:sz w:val="22"/>
                          <w:szCs w:val="22"/>
                          <w14:textOutline w14:w="9525" w14:cap="rnd" w14:cmpd="sng" w14:algn="ctr">
                            <w14:noFill/>
                            <w14:prstDash w14:val="solid"/>
                            <w14:bevel/>
                          </w14:textOutline>
                        </w:rPr>
                        <w:t xml:space="preserve">DLUHC </w:t>
                      </w:r>
                      <w:r w:rsidRPr="00A14D51">
                        <w:rPr>
                          <w:rStyle w:val="eop"/>
                          <w:rFonts w:ascii="Arial" w:hAnsi="Arial" w:cs="Arial"/>
                          <w:color w:val="FFFFFF" w:themeColor="background1"/>
                          <w:sz w:val="22"/>
                          <w:szCs w:val="22"/>
                          <w14:textOutline w14:w="9525" w14:cap="rnd" w14:cmpd="sng" w14:algn="ctr">
                            <w14:noFill/>
                            <w14:prstDash w14:val="solid"/>
                            <w14:bevel/>
                          </w14:textOutline>
                        </w:rPr>
                        <w:t>Homelessness data for the financial year 2016/17 is used to estimate levels of the DWP fee, then projected into the future based on current trends)</w:t>
                      </w:r>
                    </w:p>
                  </w:txbxContent>
                </v:textbox>
                <w10:wrap type="square"/>
              </v:shape>
            </w:pict>
          </mc:Fallback>
        </mc:AlternateContent>
      </w:r>
      <w:r w:rsidR="00BF2A6A" w:rsidRPr="00BF2A6A">
        <w:rPr>
          <w:rFonts w:ascii="Arial" w:eastAsia="Arial" w:hAnsi="Arial" w:cs="Arial"/>
          <w:i/>
          <w:iCs/>
          <w:sz w:val="20"/>
          <w:szCs w:val="20"/>
          <w:u w:val="single"/>
        </w:rPr>
        <w:t>Figure 1.3 – Components of the current Homelessness Prevention Grant funding formula</w:t>
      </w:r>
    </w:p>
    <w:p w14:paraId="0190A6C8" w14:textId="4E0C267F" w:rsidR="00741FC7" w:rsidRDefault="00741FC7" w:rsidP="00741FC7">
      <w:pPr>
        <w:pStyle w:val="Default"/>
        <w:spacing w:after="120"/>
        <w:rPr>
          <w:rFonts w:ascii="Arial" w:eastAsia="Arial" w:hAnsi="Arial" w:cs="Arial"/>
          <w:i/>
          <w:iCs/>
          <w:sz w:val="20"/>
          <w:szCs w:val="20"/>
          <w:u w:val="single"/>
        </w:rPr>
      </w:pPr>
    </w:p>
    <w:p w14:paraId="255AED8C" w14:textId="6A300D3B" w:rsidR="00741FC7" w:rsidRDefault="00741FC7" w:rsidP="00741FC7">
      <w:pPr>
        <w:pStyle w:val="Default"/>
        <w:spacing w:after="120"/>
        <w:rPr>
          <w:rFonts w:ascii="Arial" w:eastAsia="Arial" w:hAnsi="Arial" w:cs="Arial"/>
          <w:i/>
          <w:iCs/>
          <w:sz w:val="20"/>
          <w:szCs w:val="20"/>
          <w:u w:val="single"/>
        </w:rPr>
      </w:pPr>
    </w:p>
    <w:p w14:paraId="2C57D1C1" w14:textId="599DBFD0" w:rsidR="00741FC7" w:rsidRDefault="00741FC7" w:rsidP="00741FC7">
      <w:pPr>
        <w:pStyle w:val="Default"/>
        <w:spacing w:after="120"/>
        <w:rPr>
          <w:rFonts w:ascii="Arial" w:eastAsia="Arial" w:hAnsi="Arial" w:cs="Arial"/>
          <w:i/>
          <w:iCs/>
          <w:sz w:val="20"/>
          <w:szCs w:val="20"/>
          <w:u w:val="single"/>
        </w:rPr>
      </w:pPr>
    </w:p>
    <w:p w14:paraId="0C78BBA6" w14:textId="77777777" w:rsidR="00F20B02" w:rsidRDefault="00F20B02" w:rsidP="00741FC7">
      <w:pPr>
        <w:pStyle w:val="Default"/>
        <w:spacing w:after="120"/>
        <w:rPr>
          <w:rFonts w:ascii="Arial" w:eastAsia="Arial" w:hAnsi="Arial" w:cs="Arial"/>
        </w:rPr>
      </w:pPr>
    </w:p>
    <w:p w14:paraId="6A67AE68" w14:textId="641B7588" w:rsidR="003B77A8" w:rsidRPr="003B77A8" w:rsidRDefault="003B77A8" w:rsidP="00741FC7">
      <w:pPr>
        <w:pStyle w:val="Default"/>
        <w:spacing w:after="120"/>
        <w:rPr>
          <w:rFonts w:ascii="Arial" w:eastAsia="Arial" w:hAnsi="Arial" w:cs="Arial"/>
          <w:b/>
          <w:bCs/>
          <w:sz w:val="26"/>
          <w:szCs w:val="26"/>
        </w:rPr>
      </w:pPr>
      <w:r w:rsidRPr="000F13EC">
        <w:rPr>
          <w:rFonts w:ascii="Arial" w:eastAsia="Arial" w:hAnsi="Arial" w:cs="Arial"/>
          <w:b/>
          <w:bCs/>
          <w:sz w:val="26"/>
          <w:szCs w:val="26"/>
        </w:rPr>
        <w:lastRenderedPageBreak/>
        <w:t xml:space="preserve">Combining the formulas used for the </w:t>
      </w:r>
      <w:r>
        <w:rPr>
          <w:rFonts w:ascii="Arial" w:eastAsia="Arial" w:hAnsi="Arial" w:cs="Arial"/>
          <w:b/>
          <w:bCs/>
          <w:sz w:val="26"/>
          <w:szCs w:val="26"/>
        </w:rPr>
        <w:t>£47</w:t>
      </w:r>
      <w:r w:rsidRPr="000F13EC">
        <w:rPr>
          <w:rFonts w:ascii="Arial" w:eastAsia="Arial" w:hAnsi="Arial" w:cs="Arial"/>
          <w:b/>
          <w:bCs/>
          <w:sz w:val="26"/>
          <w:szCs w:val="26"/>
        </w:rPr>
        <w:t>m and £</w:t>
      </w:r>
      <w:r>
        <w:rPr>
          <w:rFonts w:ascii="Arial" w:eastAsia="Arial" w:hAnsi="Arial" w:cs="Arial"/>
          <w:b/>
          <w:bCs/>
          <w:sz w:val="26"/>
          <w:szCs w:val="26"/>
        </w:rPr>
        <w:t>63</w:t>
      </w:r>
      <w:r w:rsidRPr="000F13EC">
        <w:rPr>
          <w:rFonts w:ascii="Arial" w:eastAsia="Arial" w:hAnsi="Arial" w:cs="Arial"/>
          <w:b/>
          <w:bCs/>
          <w:sz w:val="26"/>
          <w:szCs w:val="26"/>
        </w:rPr>
        <w:t>m elements</w:t>
      </w:r>
    </w:p>
    <w:p w14:paraId="1D591EB5" w14:textId="4E4FFBC5" w:rsidR="00741FC7" w:rsidRDefault="00741FC7" w:rsidP="002129EE">
      <w:pPr>
        <w:pStyle w:val="Default"/>
        <w:numPr>
          <w:ilvl w:val="1"/>
          <w:numId w:val="11"/>
        </w:numPr>
        <w:spacing w:after="120"/>
        <w:rPr>
          <w:rFonts w:ascii="Arial" w:eastAsia="Arial" w:hAnsi="Arial" w:cs="Arial"/>
        </w:rPr>
      </w:pPr>
      <w:r>
        <w:rPr>
          <w:rFonts w:ascii="Arial" w:eastAsia="Arial" w:hAnsi="Arial" w:cs="Arial"/>
        </w:rPr>
        <w:t>The</w:t>
      </w:r>
      <w:r w:rsidR="00A76171">
        <w:rPr>
          <w:rFonts w:ascii="Arial" w:eastAsia="Arial" w:hAnsi="Arial" w:cs="Arial"/>
        </w:rPr>
        <w:t xml:space="preserve"> HRG (£63m) and HRA uplift (£47m)</w:t>
      </w:r>
      <w:r>
        <w:rPr>
          <w:rFonts w:ascii="Arial" w:eastAsia="Arial" w:hAnsi="Arial" w:cs="Arial"/>
        </w:rPr>
        <w:t xml:space="preserve"> elements of the formula have similar purposes – they both aim to predict and weight funding according to local homelessness prevention and relief pressures. Our modelling indicates that local authorities receive proportionately similar levels of funding across both formulas. </w:t>
      </w:r>
      <w:r w:rsidR="00681035">
        <w:rPr>
          <w:rFonts w:ascii="Arial" w:eastAsia="Arial" w:hAnsi="Arial" w:cs="Arial"/>
        </w:rPr>
        <w:t>We therefore perceive it to be</w:t>
      </w:r>
      <w:r>
        <w:rPr>
          <w:rFonts w:ascii="Arial" w:eastAsia="Arial" w:hAnsi="Arial" w:cs="Arial"/>
        </w:rPr>
        <w:t xml:space="preserve"> </w:t>
      </w:r>
      <w:r w:rsidR="00770C64">
        <w:rPr>
          <w:rFonts w:ascii="Arial" w:eastAsia="Arial" w:hAnsi="Arial" w:cs="Arial"/>
        </w:rPr>
        <w:t>un</w:t>
      </w:r>
      <w:r w:rsidR="001D17DA">
        <w:rPr>
          <w:rFonts w:ascii="Arial" w:eastAsia="Arial" w:hAnsi="Arial" w:cs="Arial"/>
        </w:rPr>
        <w:t>n</w:t>
      </w:r>
      <w:r w:rsidR="00770C64">
        <w:rPr>
          <w:rFonts w:ascii="Arial" w:eastAsia="Arial" w:hAnsi="Arial" w:cs="Arial"/>
        </w:rPr>
        <w:t>e</w:t>
      </w:r>
      <w:r w:rsidR="001D17DA">
        <w:rPr>
          <w:rFonts w:ascii="Arial" w:eastAsia="Arial" w:hAnsi="Arial" w:cs="Arial"/>
        </w:rPr>
        <w:t>cessarily</w:t>
      </w:r>
      <w:r>
        <w:rPr>
          <w:rFonts w:ascii="Arial" w:eastAsia="Arial" w:hAnsi="Arial" w:cs="Arial"/>
        </w:rPr>
        <w:t xml:space="preserve"> complex to retain two separate formulas in this case, and that extending the formula used for one element to both would </w:t>
      </w:r>
      <w:r w:rsidR="39310CEC" w:rsidRPr="57D2B8DC">
        <w:rPr>
          <w:rFonts w:ascii="Arial" w:eastAsia="Arial" w:hAnsi="Arial" w:cs="Arial"/>
        </w:rPr>
        <w:t>simplify</w:t>
      </w:r>
      <w:r>
        <w:rPr>
          <w:rFonts w:ascii="Arial" w:eastAsia="Arial" w:hAnsi="Arial" w:cs="Arial"/>
        </w:rPr>
        <w:t xml:space="preserve"> the formula, making it easier to understand and administer.</w:t>
      </w:r>
    </w:p>
    <w:p w14:paraId="7EFBC943" w14:textId="6E26ECA6" w:rsidR="00741FC7" w:rsidRDefault="00741FC7" w:rsidP="002129EE">
      <w:pPr>
        <w:pStyle w:val="CommentText"/>
        <w:numPr>
          <w:ilvl w:val="1"/>
          <w:numId w:val="11"/>
        </w:numPr>
        <w:spacing w:after="120"/>
        <w:rPr>
          <w:sz w:val="24"/>
          <w:szCs w:val="24"/>
        </w:rPr>
      </w:pPr>
      <w:r>
        <w:rPr>
          <w:rFonts w:eastAsia="Arial" w:cs="Arial"/>
          <w:sz w:val="24"/>
          <w:szCs w:val="24"/>
        </w:rPr>
        <w:t xml:space="preserve">The £63m HRG formula </w:t>
      </w:r>
      <w:r w:rsidRPr="00EF65B5">
        <w:rPr>
          <w:rFonts w:eastAsia="Arial" w:cs="Arial"/>
          <w:sz w:val="24"/>
          <w:szCs w:val="24"/>
        </w:rPr>
        <w:t xml:space="preserve">relies </w:t>
      </w:r>
      <w:r>
        <w:rPr>
          <w:rFonts w:eastAsia="Arial" w:cs="Arial"/>
          <w:sz w:val="24"/>
          <w:szCs w:val="24"/>
        </w:rPr>
        <w:t xml:space="preserve">more heavily </w:t>
      </w:r>
      <w:r w:rsidRPr="00EF65B5">
        <w:rPr>
          <w:rFonts w:eastAsia="Arial" w:cs="Arial"/>
          <w:sz w:val="24"/>
          <w:szCs w:val="24"/>
        </w:rPr>
        <w:t xml:space="preserve">on local </w:t>
      </w:r>
      <w:r w:rsidR="39310CEC" w:rsidRPr="57D2B8DC">
        <w:rPr>
          <w:rFonts w:eastAsia="Arial" w:cs="Arial"/>
          <w:sz w:val="24"/>
          <w:szCs w:val="24"/>
        </w:rPr>
        <w:t>authority</w:t>
      </w:r>
      <w:r w:rsidRPr="00EF65B5">
        <w:rPr>
          <w:rFonts w:eastAsia="Arial" w:cs="Arial"/>
          <w:sz w:val="24"/>
          <w:szCs w:val="24"/>
        </w:rPr>
        <w:t xml:space="preserve"> self-reported H-CLIC data</w:t>
      </w:r>
      <w:r w:rsidR="003B5C87">
        <w:rPr>
          <w:rFonts w:eastAsia="Arial" w:cs="Arial"/>
          <w:sz w:val="24"/>
          <w:szCs w:val="24"/>
        </w:rPr>
        <w:t>.</w:t>
      </w:r>
      <w:r w:rsidR="00D91E20">
        <w:rPr>
          <w:rFonts w:eastAsia="Arial" w:cs="Arial"/>
          <w:sz w:val="24"/>
          <w:szCs w:val="24"/>
        </w:rPr>
        <w:t xml:space="preserve"> W</w:t>
      </w:r>
      <w:r>
        <w:rPr>
          <w:rFonts w:eastAsia="Arial" w:cs="Arial"/>
          <w:sz w:val="24"/>
          <w:szCs w:val="24"/>
        </w:rPr>
        <w:t xml:space="preserve">hilst using H-CLIC data </w:t>
      </w:r>
      <w:r w:rsidR="00E82022">
        <w:rPr>
          <w:sz w:val="24"/>
          <w:szCs w:val="24"/>
        </w:rPr>
        <w:t xml:space="preserve">identifies </w:t>
      </w:r>
      <w:r w:rsidRPr="00EF65B5">
        <w:rPr>
          <w:sz w:val="24"/>
          <w:szCs w:val="24"/>
        </w:rPr>
        <w:t>LAs who</w:t>
      </w:r>
      <w:r w:rsidR="00E82022">
        <w:rPr>
          <w:sz w:val="24"/>
          <w:szCs w:val="24"/>
        </w:rPr>
        <w:t xml:space="preserve"> have undertaken </w:t>
      </w:r>
      <w:r w:rsidRPr="00EF65B5">
        <w:rPr>
          <w:sz w:val="24"/>
          <w:szCs w:val="24"/>
        </w:rPr>
        <w:t xml:space="preserve">Homelessness Reduction Act activity, </w:t>
      </w:r>
      <w:r>
        <w:rPr>
          <w:sz w:val="24"/>
          <w:szCs w:val="24"/>
        </w:rPr>
        <w:t>it</w:t>
      </w:r>
      <w:r w:rsidRPr="00EF65B5">
        <w:rPr>
          <w:sz w:val="24"/>
          <w:szCs w:val="24"/>
        </w:rPr>
        <w:t xml:space="preserve"> doesn’t </w:t>
      </w:r>
      <w:r w:rsidR="00E82022">
        <w:rPr>
          <w:sz w:val="24"/>
          <w:szCs w:val="24"/>
        </w:rPr>
        <w:t>identify</w:t>
      </w:r>
      <w:r w:rsidR="006E4FAB">
        <w:rPr>
          <w:sz w:val="24"/>
          <w:szCs w:val="24"/>
        </w:rPr>
        <w:t xml:space="preserve"> </w:t>
      </w:r>
      <w:r w:rsidRPr="00EF65B5">
        <w:rPr>
          <w:sz w:val="24"/>
          <w:szCs w:val="24"/>
        </w:rPr>
        <w:t xml:space="preserve">earlier stage </w:t>
      </w:r>
      <w:r>
        <w:rPr>
          <w:sz w:val="24"/>
          <w:szCs w:val="24"/>
        </w:rPr>
        <w:t xml:space="preserve">prevention </w:t>
      </w:r>
      <w:r w:rsidRPr="00EF65B5">
        <w:rPr>
          <w:sz w:val="24"/>
          <w:szCs w:val="24"/>
        </w:rPr>
        <w:t>work – for example, tenancy sustainment services, or establishing comprehensive supported housing pathways – i.e. prevention work that falls outside of the Homelessness Reduction Act duties.</w:t>
      </w:r>
      <w:r w:rsidRPr="00DD5193">
        <w:rPr>
          <w:sz w:val="24"/>
          <w:szCs w:val="24"/>
        </w:rPr>
        <w:t xml:space="preserve"> </w:t>
      </w:r>
      <w:r w:rsidR="00D91E20">
        <w:rPr>
          <w:sz w:val="24"/>
          <w:szCs w:val="24"/>
        </w:rPr>
        <w:t>W</w:t>
      </w:r>
      <w:r>
        <w:rPr>
          <w:sz w:val="24"/>
          <w:szCs w:val="24"/>
        </w:rPr>
        <w:t>e therefore propose using the more up to date HRA uplift formula (which relies significantly less on H-CLIC data) for the entire £110m.</w:t>
      </w:r>
      <w:r w:rsidR="006E4FAB">
        <w:rPr>
          <w:sz w:val="24"/>
          <w:szCs w:val="24"/>
        </w:rPr>
        <w:t xml:space="preserve"> </w:t>
      </w:r>
      <w:r w:rsidR="006C20F2">
        <w:rPr>
          <w:sz w:val="24"/>
          <w:szCs w:val="24"/>
        </w:rPr>
        <w:t>This means that the HRG element of the formula</w:t>
      </w:r>
      <w:r w:rsidR="001A2BBA">
        <w:rPr>
          <w:sz w:val="24"/>
          <w:szCs w:val="24"/>
        </w:rPr>
        <w:t>, as set out above,</w:t>
      </w:r>
      <w:r w:rsidR="006C20F2">
        <w:rPr>
          <w:sz w:val="24"/>
          <w:szCs w:val="24"/>
        </w:rPr>
        <w:t xml:space="preserve"> will no longer be </w:t>
      </w:r>
      <w:r w:rsidR="001A2BBA">
        <w:rPr>
          <w:sz w:val="24"/>
          <w:szCs w:val="24"/>
        </w:rPr>
        <w:t>used within the calculation.</w:t>
      </w:r>
    </w:p>
    <w:p w14:paraId="196F2F97" w14:textId="2FE80D50" w:rsidR="00594CD2" w:rsidRPr="00594CD2" w:rsidRDefault="00CE040C" w:rsidP="00594CD2">
      <w:pPr>
        <w:spacing w:after="120" w:line="259" w:lineRule="auto"/>
        <w:rPr>
          <w:rFonts w:eastAsia="Arial"/>
          <w:i/>
          <w:iCs/>
          <w:color w:val="000000" w:themeColor="text1"/>
          <w:sz w:val="20"/>
          <w:szCs w:val="20"/>
          <w:u w:val="single"/>
        </w:rPr>
      </w:pPr>
      <w:r w:rsidRPr="00BF2A6A">
        <w:rPr>
          <w:noProof/>
          <w:u w:val="single"/>
        </w:rPr>
        <mc:AlternateContent>
          <mc:Choice Requires="wps">
            <w:drawing>
              <wp:anchor distT="0" distB="0" distL="114300" distR="114300" simplePos="0" relativeHeight="251658259" behindDoc="0" locked="0" layoutInCell="1" allowOverlap="1" wp14:anchorId="03D31A11" wp14:editId="400ECAA9">
                <wp:simplePos x="0" y="0"/>
                <wp:positionH relativeFrom="margin">
                  <wp:posOffset>1362075</wp:posOffset>
                </wp:positionH>
                <wp:positionV relativeFrom="paragraph">
                  <wp:posOffset>1024415</wp:posOffset>
                </wp:positionV>
                <wp:extent cx="2084119" cy="224260"/>
                <wp:effectExtent l="0" t="342900" r="0" b="385445"/>
                <wp:wrapNone/>
                <wp:docPr id="53" name="Arrow: Right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145563">
                          <a:off x="0" y="0"/>
                          <a:ext cx="2084119" cy="224260"/>
                        </a:xfrm>
                        <a:prstGeom prst="rightArrow">
                          <a:avLst>
                            <a:gd name="adj1" fmla="val 50000"/>
                            <a:gd name="adj2" fmla="val 123256"/>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7DF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3" o:spid="_x0000_s1026" type="#_x0000_t13" alt="&quot;&quot;" style="position:absolute;margin-left:107.25pt;margin-top:80.65pt;width:164.1pt;height:17.65pt;rotation:-1588633fd;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" adj="18735" fillcolor="white [3201]" strokecolor="#4bacc6 [3208]" strokeweight="2pt">
                <w10:wrap anchorx="margin"/>
              </v:shape>
            </w:pict>
          </mc:Fallback>
        </mc:AlternateContent>
      </w:r>
      <w:r w:rsidR="00336FF6" w:rsidRPr="00BF2A6A">
        <w:rPr>
          <w:noProof/>
          <w:u w:val="single"/>
        </w:rPr>
        <mc:AlternateContent>
          <mc:Choice Requires="wps">
            <w:drawing>
              <wp:anchor distT="45720" distB="45720" distL="114300" distR="114300" simplePos="0" relativeHeight="251658258" behindDoc="0" locked="0" layoutInCell="1" allowOverlap="1" wp14:anchorId="47B86EBA" wp14:editId="4F05BFE3">
                <wp:simplePos x="0" y="0"/>
                <wp:positionH relativeFrom="column">
                  <wp:posOffset>3336290</wp:posOffset>
                </wp:positionH>
                <wp:positionV relativeFrom="paragraph">
                  <wp:posOffset>347980</wp:posOffset>
                </wp:positionV>
                <wp:extent cx="3032125" cy="3281045"/>
                <wp:effectExtent l="0" t="0" r="0" b="0"/>
                <wp:wrapSquare wrapText="bothSides"/>
                <wp:docPr id="52" name="Text Box 2" descr="£110m – HRA uplift formula&#10;Part A: £88m&#10;o Share of pressure determined via the number of housing benefit claimants and households on universal credit with the housing element, lower quartile monthly private rented sector rents for two-bedroom properties, area cost adjustment&#10;&#10;Part B: £22m&#10;o The share of total single adult households owed a prevention or relief duty (where there is missing data, the share is calculated as 75% of part A)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3281045"/>
                        </a:xfrm>
                        <a:prstGeom prst="rect">
                          <a:avLst/>
                        </a:prstGeom>
                        <a:solidFill>
                          <a:schemeClr val="accent3">
                            <a:lumMod val="75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B67380E" w14:textId="10E7CC5B" w:rsidR="00336FF6" w:rsidRDefault="00336FF6" w:rsidP="00336FF6">
                            <w:pPr>
                              <w:pStyle w:val="paragraph"/>
                              <w:spacing w:after="120"/>
                              <w:textAlignment w:val="baseline"/>
                              <w:rPr>
                                <w:rStyle w:val="normaltextrun"/>
                                <w:rFonts w:ascii="Arial" w:hAnsi="Arial" w:cs="Arial"/>
                                <w:b/>
                                <w:color w:val="FFFFFF" w:themeColor="background1"/>
                                <w:sz w:val="32"/>
                                <w:szCs w:val="32"/>
                                <w:u w:val="single"/>
                                <w14:textOutline w14:w="9525" w14:cap="rnd" w14:cmpd="sng" w14:algn="ctr">
                                  <w14:noFill/>
                                  <w14:prstDash w14:val="solid"/>
                                  <w14:bevel/>
                                </w14:textOutline>
                              </w:rPr>
                            </w:pPr>
                            <w:r w:rsidRPr="00F66725">
                              <w:rPr>
                                <w:rStyle w:val="normaltextrun"/>
                                <w:rFonts w:ascii="Arial" w:hAnsi="Arial" w:cs="Arial"/>
                                <w:b/>
                                <w:color w:val="FFFFFF" w:themeColor="background1"/>
                                <w:sz w:val="32"/>
                                <w:szCs w:val="32"/>
                                <w:u w:val="single"/>
                                <w14:textOutline w14:w="9525" w14:cap="rnd" w14:cmpd="sng" w14:algn="ctr">
                                  <w14:noFill/>
                                  <w14:prstDash w14:val="solid"/>
                                  <w14:bevel/>
                                </w14:textOutline>
                              </w:rPr>
                              <w:t>£</w:t>
                            </w:r>
                            <w:r>
                              <w:rPr>
                                <w:rStyle w:val="normaltextrun"/>
                                <w:rFonts w:ascii="Arial" w:hAnsi="Arial" w:cs="Arial"/>
                                <w:b/>
                                <w:color w:val="FFFFFF" w:themeColor="background1"/>
                                <w:sz w:val="32"/>
                                <w:szCs w:val="32"/>
                                <w:u w:val="single"/>
                                <w14:textOutline w14:w="9525" w14:cap="rnd" w14:cmpd="sng" w14:algn="ctr">
                                  <w14:noFill/>
                                  <w14:prstDash w14:val="solid"/>
                                  <w14:bevel/>
                                </w14:textOutline>
                              </w:rPr>
                              <w:t>110</w:t>
                            </w:r>
                            <w:r w:rsidRPr="00F66725">
                              <w:rPr>
                                <w:rStyle w:val="normaltextrun"/>
                                <w:rFonts w:ascii="Arial" w:hAnsi="Arial" w:cs="Arial"/>
                                <w:b/>
                                <w:color w:val="FFFFFF" w:themeColor="background1"/>
                                <w:sz w:val="32"/>
                                <w:szCs w:val="32"/>
                                <w:u w:val="single"/>
                                <w14:textOutline w14:w="9525" w14:cap="rnd" w14:cmpd="sng" w14:algn="ctr">
                                  <w14:noFill/>
                                  <w14:prstDash w14:val="solid"/>
                                  <w14:bevel/>
                                </w14:textOutline>
                              </w:rPr>
                              <w:t xml:space="preserve">m – </w:t>
                            </w:r>
                            <w:r>
                              <w:rPr>
                                <w:rStyle w:val="normaltextrun"/>
                                <w:rFonts w:ascii="Arial" w:hAnsi="Arial" w:cs="Arial"/>
                                <w:b/>
                                <w:color w:val="FFFFFF" w:themeColor="background1"/>
                                <w:sz w:val="32"/>
                                <w:szCs w:val="32"/>
                                <w:u w:val="single"/>
                                <w14:textOutline w14:w="9525" w14:cap="rnd" w14:cmpd="sng" w14:algn="ctr">
                                  <w14:noFill/>
                                  <w14:prstDash w14:val="solid"/>
                                  <w14:bevel/>
                                </w14:textOutline>
                              </w:rPr>
                              <w:t>HRA uplift formula</w:t>
                            </w:r>
                          </w:p>
                          <w:p w14:paraId="21DE64B4" w14:textId="49F88817" w:rsidR="00336FF6" w:rsidRPr="00336FF6" w:rsidRDefault="00336FF6" w:rsidP="00336FF6">
                            <w:pPr>
                              <w:pStyle w:val="paragraph"/>
                              <w:spacing w:before="0" w:beforeAutospacing="0" w:after="0" w:afterAutospacing="0" w:line="259" w:lineRule="auto"/>
                              <w:textAlignment w:val="baseline"/>
                              <w:rPr>
                                <w:rFonts w:ascii="Arial" w:hAnsi="Arial" w:cs="Arial"/>
                                <w:color w:val="FFFFFF" w:themeColor="background1"/>
                                <w14:textOutline w14:w="9525" w14:cap="rnd" w14:cmpd="sng" w14:algn="ctr">
                                  <w14:noFill/>
                                  <w14:prstDash w14:val="solid"/>
                                  <w14:bevel/>
                                </w14:textOutline>
                              </w:rPr>
                            </w:pPr>
                            <w:r w:rsidRPr="00336FF6">
                              <w:rPr>
                                <w:rFonts w:ascii="Arial" w:hAnsi="Arial" w:cs="Arial"/>
                                <w:color w:val="FFFFFF" w:themeColor="background1"/>
                                <w14:textOutline w14:w="9525" w14:cap="rnd" w14:cmpd="sng" w14:algn="ctr">
                                  <w14:noFill/>
                                  <w14:prstDash w14:val="solid"/>
                                  <w14:bevel/>
                                </w14:textOutline>
                              </w:rPr>
                              <w:t>Part A: £</w:t>
                            </w:r>
                            <w:r w:rsidR="0017745D">
                              <w:rPr>
                                <w:rFonts w:ascii="Arial" w:hAnsi="Arial" w:cs="Arial"/>
                                <w:color w:val="FFFFFF" w:themeColor="background1"/>
                                <w14:textOutline w14:w="9525" w14:cap="rnd" w14:cmpd="sng" w14:algn="ctr">
                                  <w14:noFill/>
                                  <w14:prstDash w14:val="solid"/>
                                  <w14:bevel/>
                                </w14:textOutline>
                              </w:rPr>
                              <w:t>88m</w:t>
                            </w:r>
                          </w:p>
                          <w:p w14:paraId="6BCA0B47" w14:textId="77777777" w:rsidR="00336FF6" w:rsidRDefault="00336FF6" w:rsidP="00336FF6">
                            <w:pPr>
                              <w:pStyle w:val="paragraph"/>
                              <w:numPr>
                                <w:ilvl w:val="0"/>
                                <w:numId w:val="21"/>
                              </w:numPr>
                              <w:spacing w:before="0" w:beforeAutospacing="0" w:after="12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336FF6">
                              <w:rPr>
                                <w:rFonts w:ascii="Arial" w:hAnsi="Arial" w:cs="Arial"/>
                                <w:color w:val="FFFFFF" w:themeColor="background1"/>
                                <w:sz w:val="22"/>
                                <w:szCs w:val="22"/>
                                <w14:textOutline w14:w="9525" w14:cap="rnd" w14:cmpd="sng" w14:algn="ctr">
                                  <w14:noFill/>
                                  <w14:prstDash w14:val="solid"/>
                                  <w14:bevel/>
                                </w14:textOutline>
                              </w:rPr>
                              <w:t>Share of pressure determined via the number of housing benefit claimants and households on universal credit with the housing element, lower quartile monthly private rented sector rents for two-bedroom properties, area cost adjustment</w:t>
                            </w:r>
                          </w:p>
                          <w:p w14:paraId="332837F2" w14:textId="77777777" w:rsidR="00336FF6" w:rsidRPr="00336FF6" w:rsidRDefault="00336FF6" w:rsidP="00336FF6">
                            <w:pPr>
                              <w:pStyle w:val="paragraph"/>
                              <w:spacing w:before="0" w:beforeAutospacing="0" w:after="120" w:afterAutospacing="0" w:line="259" w:lineRule="auto"/>
                              <w:ind w:left="360"/>
                              <w:textAlignment w:val="baseline"/>
                              <w:rPr>
                                <w:rFonts w:ascii="Arial" w:hAnsi="Arial" w:cs="Arial"/>
                                <w:color w:val="FFFFFF" w:themeColor="background1"/>
                                <w:sz w:val="22"/>
                                <w:szCs w:val="22"/>
                                <w14:textOutline w14:w="9525" w14:cap="rnd" w14:cmpd="sng" w14:algn="ctr">
                                  <w14:noFill/>
                                  <w14:prstDash w14:val="solid"/>
                                  <w14:bevel/>
                                </w14:textOutline>
                              </w:rPr>
                            </w:pPr>
                          </w:p>
                          <w:p w14:paraId="411FA458" w14:textId="6CDC1E7A" w:rsidR="00336FF6" w:rsidRPr="00336FF6" w:rsidRDefault="00336FF6" w:rsidP="00336FF6">
                            <w:pPr>
                              <w:pStyle w:val="paragraph"/>
                              <w:spacing w:before="0" w:beforeAutospacing="0" w:after="0" w:afterAutospacing="0" w:line="259" w:lineRule="auto"/>
                              <w:textAlignment w:val="baseline"/>
                              <w:rPr>
                                <w:rFonts w:ascii="Arial" w:hAnsi="Arial" w:cs="Arial"/>
                                <w:color w:val="FFFFFF" w:themeColor="background1"/>
                                <w14:textOutline w14:w="9525" w14:cap="rnd" w14:cmpd="sng" w14:algn="ctr">
                                  <w14:noFill/>
                                  <w14:prstDash w14:val="solid"/>
                                  <w14:bevel/>
                                </w14:textOutline>
                              </w:rPr>
                            </w:pPr>
                            <w:r w:rsidRPr="00336FF6">
                              <w:rPr>
                                <w:rFonts w:ascii="Arial" w:hAnsi="Arial" w:cs="Arial"/>
                                <w:color w:val="FFFFFF" w:themeColor="background1"/>
                                <w14:textOutline w14:w="9525" w14:cap="rnd" w14:cmpd="sng" w14:algn="ctr">
                                  <w14:noFill/>
                                  <w14:prstDash w14:val="solid"/>
                                  <w14:bevel/>
                                </w14:textOutline>
                              </w:rPr>
                              <w:t>Part B:</w:t>
                            </w:r>
                            <w:r w:rsidR="00E81029">
                              <w:rPr>
                                <w:rFonts w:ascii="Arial" w:hAnsi="Arial" w:cs="Arial"/>
                                <w:color w:val="FFFFFF" w:themeColor="background1"/>
                                <w14:textOutline w14:w="9525" w14:cap="rnd" w14:cmpd="sng" w14:algn="ctr">
                                  <w14:noFill/>
                                  <w14:prstDash w14:val="solid"/>
                                  <w14:bevel/>
                                </w14:textOutline>
                              </w:rPr>
                              <w:t xml:space="preserve"> </w:t>
                            </w:r>
                            <w:r w:rsidRPr="00336FF6">
                              <w:rPr>
                                <w:rFonts w:ascii="Arial" w:hAnsi="Arial" w:cs="Arial"/>
                                <w:color w:val="FFFFFF" w:themeColor="background1"/>
                                <w14:textOutline w14:w="9525" w14:cap="rnd" w14:cmpd="sng" w14:algn="ctr">
                                  <w14:noFill/>
                                  <w14:prstDash w14:val="solid"/>
                                  <w14:bevel/>
                                </w14:textOutline>
                              </w:rPr>
                              <w:t>£</w:t>
                            </w:r>
                            <w:r w:rsidR="0017745D">
                              <w:rPr>
                                <w:rFonts w:ascii="Arial" w:hAnsi="Arial" w:cs="Arial"/>
                                <w:color w:val="FFFFFF" w:themeColor="background1"/>
                                <w14:textOutline w14:w="9525" w14:cap="rnd" w14:cmpd="sng" w14:algn="ctr">
                                  <w14:noFill/>
                                  <w14:prstDash w14:val="solid"/>
                                  <w14:bevel/>
                                </w14:textOutline>
                              </w:rPr>
                              <w:t>22m</w:t>
                            </w:r>
                          </w:p>
                          <w:p w14:paraId="75F0A00D" w14:textId="77777777" w:rsidR="00336FF6" w:rsidRPr="00336FF6" w:rsidRDefault="00336FF6" w:rsidP="00336FF6">
                            <w:pPr>
                              <w:pStyle w:val="paragraph"/>
                              <w:numPr>
                                <w:ilvl w:val="0"/>
                                <w:numId w:val="21"/>
                              </w:numPr>
                              <w:spacing w:before="0" w:beforeAutospacing="0" w:after="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336FF6">
                              <w:rPr>
                                <w:rFonts w:ascii="Arial" w:hAnsi="Arial" w:cs="Arial"/>
                                <w:color w:val="FFFFFF" w:themeColor="background1"/>
                                <w:sz w:val="22"/>
                                <w:szCs w:val="22"/>
                                <w14:textOutline w14:w="9525" w14:cap="rnd" w14:cmpd="sng" w14:algn="ctr">
                                  <w14:noFill/>
                                  <w14:prstDash w14:val="solid"/>
                                  <w14:bevel/>
                                </w14:textOutline>
                              </w:rPr>
                              <w:t xml:space="preserve">The share of total single adult households owed a prevention or relief duty (where there is missing data, the share is calculated as 75% of part 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86EBA" id="_x0000_s1064" type="#_x0000_t202" alt="£110m – HRA uplift formula&#10;Part A: £88m&#10;o Share of pressure determined via the number of housing benefit claimants and households on universal credit with the housing element, lower quartile monthly private rented sector rents for two-bedroom properties, area cost adjustment&#10;&#10;Part B: £22m&#10;o The share of total single adult households owed a prevention or relief duty (where there is missing data, the share is calculated as 75% of part A) " style="position:absolute;margin-left:262.7pt;margin-top:27.4pt;width:238.75pt;height:258.3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" fillcolor="#76923c [2406]" stroked="f">
                <v:fill opacity="32896f"/>
                <v:textbox>
                  <w:txbxContent>
                    <w:p w14:paraId="5B67380E" w14:textId="10E7CC5B" w:rsidR="00336FF6" w:rsidRDefault="00336FF6" w:rsidP="00336FF6">
                      <w:pPr>
                        <w:pStyle w:val="paragraph"/>
                        <w:spacing w:after="120"/>
                        <w:textAlignment w:val="baseline"/>
                        <w:rPr>
                          <w:rStyle w:val="normaltextrun"/>
                          <w:rFonts w:ascii="Arial" w:hAnsi="Arial" w:cs="Arial"/>
                          <w:b/>
                          <w:color w:val="FFFFFF" w:themeColor="background1"/>
                          <w:sz w:val="32"/>
                          <w:szCs w:val="32"/>
                          <w:u w:val="single"/>
                          <w14:textOutline w14:w="9525" w14:cap="rnd" w14:cmpd="sng" w14:algn="ctr">
                            <w14:noFill/>
                            <w14:prstDash w14:val="solid"/>
                            <w14:bevel/>
                          </w14:textOutline>
                        </w:rPr>
                      </w:pPr>
                      <w:r w:rsidRPr="00F66725">
                        <w:rPr>
                          <w:rStyle w:val="normaltextrun"/>
                          <w:rFonts w:ascii="Arial" w:hAnsi="Arial" w:cs="Arial"/>
                          <w:b/>
                          <w:color w:val="FFFFFF" w:themeColor="background1"/>
                          <w:sz w:val="32"/>
                          <w:szCs w:val="32"/>
                          <w:u w:val="single"/>
                          <w14:textOutline w14:w="9525" w14:cap="rnd" w14:cmpd="sng" w14:algn="ctr">
                            <w14:noFill/>
                            <w14:prstDash w14:val="solid"/>
                            <w14:bevel/>
                          </w14:textOutline>
                        </w:rPr>
                        <w:t>£</w:t>
                      </w:r>
                      <w:r>
                        <w:rPr>
                          <w:rStyle w:val="normaltextrun"/>
                          <w:rFonts w:ascii="Arial" w:hAnsi="Arial" w:cs="Arial"/>
                          <w:b/>
                          <w:color w:val="FFFFFF" w:themeColor="background1"/>
                          <w:sz w:val="32"/>
                          <w:szCs w:val="32"/>
                          <w:u w:val="single"/>
                          <w14:textOutline w14:w="9525" w14:cap="rnd" w14:cmpd="sng" w14:algn="ctr">
                            <w14:noFill/>
                            <w14:prstDash w14:val="solid"/>
                            <w14:bevel/>
                          </w14:textOutline>
                        </w:rPr>
                        <w:t>110</w:t>
                      </w:r>
                      <w:r w:rsidRPr="00F66725">
                        <w:rPr>
                          <w:rStyle w:val="normaltextrun"/>
                          <w:rFonts w:ascii="Arial" w:hAnsi="Arial" w:cs="Arial"/>
                          <w:b/>
                          <w:color w:val="FFFFFF" w:themeColor="background1"/>
                          <w:sz w:val="32"/>
                          <w:szCs w:val="32"/>
                          <w:u w:val="single"/>
                          <w14:textOutline w14:w="9525" w14:cap="rnd" w14:cmpd="sng" w14:algn="ctr">
                            <w14:noFill/>
                            <w14:prstDash w14:val="solid"/>
                            <w14:bevel/>
                          </w14:textOutline>
                        </w:rPr>
                        <w:t xml:space="preserve">m – </w:t>
                      </w:r>
                      <w:r>
                        <w:rPr>
                          <w:rStyle w:val="normaltextrun"/>
                          <w:rFonts w:ascii="Arial" w:hAnsi="Arial" w:cs="Arial"/>
                          <w:b/>
                          <w:color w:val="FFFFFF" w:themeColor="background1"/>
                          <w:sz w:val="32"/>
                          <w:szCs w:val="32"/>
                          <w:u w:val="single"/>
                          <w14:textOutline w14:w="9525" w14:cap="rnd" w14:cmpd="sng" w14:algn="ctr">
                            <w14:noFill/>
                            <w14:prstDash w14:val="solid"/>
                            <w14:bevel/>
                          </w14:textOutline>
                        </w:rPr>
                        <w:t>HRA uplift formula</w:t>
                      </w:r>
                    </w:p>
                    <w:p w14:paraId="21DE64B4" w14:textId="49F88817" w:rsidR="00336FF6" w:rsidRPr="00336FF6" w:rsidRDefault="00336FF6" w:rsidP="00336FF6">
                      <w:pPr>
                        <w:pStyle w:val="paragraph"/>
                        <w:spacing w:before="0" w:beforeAutospacing="0" w:after="0" w:afterAutospacing="0" w:line="259" w:lineRule="auto"/>
                        <w:textAlignment w:val="baseline"/>
                        <w:rPr>
                          <w:rFonts w:ascii="Arial" w:hAnsi="Arial" w:cs="Arial"/>
                          <w:color w:val="FFFFFF" w:themeColor="background1"/>
                          <w14:textOutline w14:w="9525" w14:cap="rnd" w14:cmpd="sng" w14:algn="ctr">
                            <w14:noFill/>
                            <w14:prstDash w14:val="solid"/>
                            <w14:bevel/>
                          </w14:textOutline>
                        </w:rPr>
                      </w:pPr>
                      <w:r w:rsidRPr="00336FF6">
                        <w:rPr>
                          <w:rFonts w:ascii="Arial" w:hAnsi="Arial" w:cs="Arial"/>
                          <w:color w:val="FFFFFF" w:themeColor="background1"/>
                          <w14:textOutline w14:w="9525" w14:cap="rnd" w14:cmpd="sng" w14:algn="ctr">
                            <w14:noFill/>
                            <w14:prstDash w14:val="solid"/>
                            <w14:bevel/>
                          </w14:textOutline>
                        </w:rPr>
                        <w:t>Part A: £</w:t>
                      </w:r>
                      <w:r w:rsidR="0017745D">
                        <w:rPr>
                          <w:rFonts w:ascii="Arial" w:hAnsi="Arial" w:cs="Arial"/>
                          <w:color w:val="FFFFFF" w:themeColor="background1"/>
                          <w14:textOutline w14:w="9525" w14:cap="rnd" w14:cmpd="sng" w14:algn="ctr">
                            <w14:noFill/>
                            <w14:prstDash w14:val="solid"/>
                            <w14:bevel/>
                          </w14:textOutline>
                        </w:rPr>
                        <w:t>88m</w:t>
                      </w:r>
                    </w:p>
                    <w:p w14:paraId="6BCA0B47" w14:textId="77777777" w:rsidR="00336FF6" w:rsidRDefault="00336FF6" w:rsidP="00336FF6">
                      <w:pPr>
                        <w:pStyle w:val="paragraph"/>
                        <w:numPr>
                          <w:ilvl w:val="0"/>
                          <w:numId w:val="21"/>
                        </w:numPr>
                        <w:spacing w:before="0" w:beforeAutospacing="0" w:after="12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336FF6">
                        <w:rPr>
                          <w:rFonts w:ascii="Arial" w:hAnsi="Arial" w:cs="Arial"/>
                          <w:color w:val="FFFFFF" w:themeColor="background1"/>
                          <w:sz w:val="22"/>
                          <w:szCs w:val="22"/>
                          <w14:textOutline w14:w="9525" w14:cap="rnd" w14:cmpd="sng" w14:algn="ctr">
                            <w14:noFill/>
                            <w14:prstDash w14:val="solid"/>
                            <w14:bevel/>
                          </w14:textOutline>
                        </w:rPr>
                        <w:t>Share of pressure determined via the number of housing benefit claimants and households on universal credit with the housing element, lower quartile monthly private rented sector rents for two-bedroom properties, area cost adjustment</w:t>
                      </w:r>
                    </w:p>
                    <w:p w14:paraId="332837F2" w14:textId="77777777" w:rsidR="00336FF6" w:rsidRPr="00336FF6" w:rsidRDefault="00336FF6" w:rsidP="00336FF6">
                      <w:pPr>
                        <w:pStyle w:val="paragraph"/>
                        <w:spacing w:before="0" w:beforeAutospacing="0" w:after="120" w:afterAutospacing="0" w:line="259" w:lineRule="auto"/>
                        <w:ind w:left="360"/>
                        <w:textAlignment w:val="baseline"/>
                        <w:rPr>
                          <w:rFonts w:ascii="Arial" w:hAnsi="Arial" w:cs="Arial"/>
                          <w:color w:val="FFFFFF" w:themeColor="background1"/>
                          <w:sz w:val="22"/>
                          <w:szCs w:val="22"/>
                          <w14:textOutline w14:w="9525" w14:cap="rnd" w14:cmpd="sng" w14:algn="ctr">
                            <w14:noFill/>
                            <w14:prstDash w14:val="solid"/>
                            <w14:bevel/>
                          </w14:textOutline>
                        </w:rPr>
                      </w:pPr>
                    </w:p>
                    <w:p w14:paraId="411FA458" w14:textId="6CDC1E7A" w:rsidR="00336FF6" w:rsidRPr="00336FF6" w:rsidRDefault="00336FF6" w:rsidP="00336FF6">
                      <w:pPr>
                        <w:pStyle w:val="paragraph"/>
                        <w:spacing w:before="0" w:beforeAutospacing="0" w:after="0" w:afterAutospacing="0" w:line="259" w:lineRule="auto"/>
                        <w:textAlignment w:val="baseline"/>
                        <w:rPr>
                          <w:rFonts w:ascii="Arial" w:hAnsi="Arial" w:cs="Arial"/>
                          <w:color w:val="FFFFFF" w:themeColor="background1"/>
                          <w14:textOutline w14:w="9525" w14:cap="rnd" w14:cmpd="sng" w14:algn="ctr">
                            <w14:noFill/>
                            <w14:prstDash w14:val="solid"/>
                            <w14:bevel/>
                          </w14:textOutline>
                        </w:rPr>
                      </w:pPr>
                      <w:r w:rsidRPr="00336FF6">
                        <w:rPr>
                          <w:rFonts w:ascii="Arial" w:hAnsi="Arial" w:cs="Arial"/>
                          <w:color w:val="FFFFFF" w:themeColor="background1"/>
                          <w14:textOutline w14:w="9525" w14:cap="rnd" w14:cmpd="sng" w14:algn="ctr">
                            <w14:noFill/>
                            <w14:prstDash w14:val="solid"/>
                            <w14:bevel/>
                          </w14:textOutline>
                        </w:rPr>
                        <w:t>Part B:</w:t>
                      </w:r>
                      <w:r w:rsidR="00E81029">
                        <w:rPr>
                          <w:rFonts w:ascii="Arial" w:hAnsi="Arial" w:cs="Arial"/>
                          <w:color w:val="FFFFFF" w:themeColor="background1"/>
                          <w14:textOutline w14:w="9525" w14:cap="rnd" w14:cmpd="sng" w14:algn="ctr">
                            <w14:noFill/>
                            <w14:prstDash w14:val="solid"/>
                            <w14:bevel/>
                          </w14:textOutline>
                        </w:rPr>
                        <w:t xml:space="preserve"> </w:t>
                      </w:r>
                      <w:r w:rsidRPr="00336FF6">
                        <w:rPr>
                          <w:rFonts w:ascii="Arial" w:hAnsi="Arial" w:cs="Arial"/>
                          <w:color w:val="FFFFFF" w:themeColor="background1"/>
                          <w14:textOutline w14:w="9525" w14:cap="rnd" w14:cmpd="sng" w14:algn="ctr">
                            <w14:noFill/>
                            <w14:prstDash w14:val="solid"/>
                            <w14:bevel/>
                          </w14:textOutline>
                        </w:rPr>
                        <w:t>£</w:t>
                      </w:r>
                      <w:r w:rsidR="0017745D">
                        <w:rPr>
                          <w:rFonts w:ascii="Arial" w:hAnsi="Arial" w:cs="Arial"/>
                          <w:color w:val="FFFFFF" w:themeColor="background1"/>
                          <w14:textOutline w14:w="9525" w14:cap="rnd" w14:cmpd="sng" w14:algn="ctr">
                            <w14:noFill/>
                            <w14:prstDash w14:val="solid"/>
                            <w14:bevel/>
                          </w14:textOutline>
                        </w:rPr>
                        <w:t>22m</w:t>
                      </w:r>
                    </w:p>
                    <w:p w14:paraId="75F0A00D" w14:textId="77777777" w:rsidR="00336FF6" w:rsidRPr="00336FF6" w:rsidRDefault="00336FF6" w:rsidP="00336FF6">
                      <w:pPr>
                        <w:pStyle w:val="paragraph"/>
                        <w:numPr>
                          <w:ilvl w:val="0"/>
                          <w:numId w:val="21"/>
                        </w:numPr>
                        <w:spacing w:before="0" w:beforeAutospacing="0" w:after="0" w:afterAutospacing="0" w:line="259" w:lineRule="auto"/>
                        <w:textAlignment w:val="baseline"/>
                        <w:rPr>
                          <w:rFonts w:ascii="Arial" w:hAnsi="Arial" w:cs="Arial"/>
                          <w:color w:val="FFFFFF" w:themeColor="background1"/>
                          <w:sz w:val="22"/>
                          <w:szCs w:val="22"/>
                          <w14:textOutline w14:w="9525" w14:cap="rnd" w14:cmpd="sng" w14:algn="ctr">
                            <w14:noFill/>
                            <w14:prstDash w14:val="solid"/>
                            <w14:bevel/>
                          </w14:textOutline>
                        </w:rPr>
                      </w:pPr>
                      <w:r w:rsidRPr="00336FF6">
                        <w:rPr>
                          <w:rFonts w:ascii="Arial" w:hAnsi="Arial" w:cs="Arial"/>
                          <w:color w:val="FFFFFF" w:themeColor="background1"/>
                          <w:sz w:val="22"/>
                          <w:szCs w:val="22"/>
                          <w14:textOutline w14:w="9525" w14:cap="rnd" w14:cmpd="sng" w14:algn="ctr">
                            <w14:noFill/>
                            <w14:prstDash w14:val="solid"/>
                            <w14:bevel/>
                          </w14:textOutline>
                        </w:rPr>
                        <w:t xml:space="preserve">The share of total single adult households owed a prevention or relief duty (where there is missing data, the share is calculated as 75% of part A) </w:t>
                      </w:r>
                    </w:p>
                  </w:txbxContent>
                </v:textbox>
                <w10:wrap type="square"/>
              </v:shape>
            </w:pict>
          </mc:Fallback>
        </mc:AlternateContent>
      </w:r>
      <w:r w:rsidR="00336FF6">
        <w:rPr>
          <w:i/>
          <w:iCs/>
          <w:noProof/>
          <w:sz w:val="20"/>
          <w:szCs w:val="20"/>
          <w:u w:val="single"/>
        </w:rPr>
        <w:drawing>
          <wp:anchor distT="0" distB="0" distL="114300" distR="114300" simplePos="0" relativeHeight="251658256" behindDoc="1" locked="0" layoutInCell="1" allowOverlap="1" wp14:anchorId="117C6260" wp14:editId="2717C267">
            <wp:simplePos x="0" y="0"/>
            <wp:positionH relativeFrom="column">
              <wp:posOffset>-76200</wp:posOffset>
            </wp:positionH>
            <wp:positionV relativeFrom="paragraph">
              <wp:posOffset>347980</wp:posOffset>
            </wp:positionV>
            <wp:extent cx="3304540" cy="3327400"/>
            <wp:effectExtent l="0" t="0" r="48260" b="6350"/>
            <wp:wrapTight wrapText="bothSides">
              <wp:wrapPolygon edited="0">
                <wp:start x="0" y="0"/>
                <wp:lineTo x="0" y="21518"/>
                <wp:lineTo x="21791" y="21518"/>
                <wp:lineTo x="21791" y="0"/>
                <wp:lineTo x="0" y="0"/>
              </wp:wrapPolygon>
            </wp:wrapTight>
            <wp:docPr id="45" name="Chart 45" descr="Pie chart showing the proposed HPG funding formula -combining the 47m and 63m elements. £200m is allocated in a similar way to the FHSG and £110m is allocated using the HRA uplift formula"/>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r w:rsidR="00594CD2" w:rsidRPr="00594CD2">
        <w:rPr>
          <w:rFonts w:eastAsia="Arial"/>
          <w:i/>
          <w:iCs/>
          <w:color w:val="000000" w:themeColor="text1"/>
          <w:sz w:val="20"/>
          <w:szCs w:val="20"/>
          <w:u w:val="single"/>
        </w:rPr>
        <w:t>Figure 1.</w:t>
      </w:r>
      <w:r w:rsidR="00594CD2">
        <w:rPr>
          <w:rFonts w:eastAsia="Arial"/>
          <w:i/>
          <w:iCs/>
          <w:color w:val="000000" w:themeColor="text1"/>
          <w:sz w:val="20"/>
          <w:szCs w:val="20"/>
          <w:u w:val="single"/>
        </w:rPr>
        <w:t>4</w:t>
      </w:r>
      <w:r w:rsidR="00594CD2" w:rsidRPr="00594CD2">
        <w:rPr>
          <w:rFonts w:eastAsia="Arial"/>
          <w:i/>
          <w:iCs/>
          <w:color w:val="000000" w:themeColor="text1"/>
          <w:sz w:val="20"/>
          <w:szCs w:val="20"/>
          <w:u w:val="single"/>
        </w:rPr>
        <w:t xml:space="preserve">: </w:t>
      </w:r>
      <w:r>
        <w:rPr>
          <w:rFonts w:eastAsia="Arial"/>
          <w:i/>
          <w:iCs/>
          <w:color w:val="000000" w:themeColor="text1"/>
          <w:sz w:val="20"/>
          <w:szCs w:val="20"/>
          <w:u w:val="single"/>
        </w:rPr>
        <w:t>Impact of combining</w:t>
      </w:r>
      <w:r w:rsidR="00594CD2">
        <w:rPr>
          <w:rFonts w:eastAsia="Arial"/>
          <w:i/>
          <w:iCs/>
          <w:color w:val="000000" w:themeColor="text1"/>
          <w:sz w:val="20"/>
          <w:szCs w:val="20"/>
          <w:u w:val="single"/>
        </w:rPr>
        <w:t xml:space="preserve"> the £47m</w:t>
      </w:r>
      <w:r w:rsidR="00377210">
        <w:rPr>
          <w:rFonts w:eastAsia="Arial"/>
          <w:i/>
          <w:iCs/>
          <w:color w:val="000000" w:themeColor="text1"/>
          <w:sz w:val="20"/>
          <w:szCs w:val="20"/>
          <w:u w:val="single"/>
        </w:rPr>
        <w:t xml:space="preserve"> (HRA uplift)</w:t>
      </w:r>
      <w:r w:rsidR="00594CD2">
        <w:rPr>
          <w:rFonts w:eastAsia="Arial"/>
          <w:i/>
          <w:iCs/>
          <w:color w:val="000000" w:themeColor="text1"/>
          <w:sz w:val="20"/>
          <w:szCs w:val="20"/>
          <w:u w:val="single"/>
        </w:rPr>
        <w:t xml:space="preserve"> and £63m</w:t>
      </w:r>
      <w:r w:rsidR="003E4767">
        <w:rPr>
          <w:rFonts w:eastAsia="Arial"/>
          <w:i/>
          <w:iCs/>
          <w:color w:val="000000" w:themeColor="text1"/>
          <w:sz w:val="20"/>
          <w:szCs w:val="20"/>
          <w:u w:val="single"/>
        </w:rPr>
        <w:t xml:space="preserve"> </w:t>
      </w:r>
      <w:r w:rsidR="00377210">
        <w:rPr>
          <w:rFonts w:eastAsia="Arial"/>
          <w:i/>
          <w:iCs/>
          <w:color w:val="000000" w:themeColor="text1"/>
          <w:sz w:val="20"/>
          <w:szCs w:val="20"/>
          <w:u w:val="single"/>
        </w:rPr>
        <w:t xml:space="preserve">(HRG) </w:t>
      </w:r>
      <w:r w:rsidR="003E4767">
        <w:rPr>
          <w:rFonts w:eastAsia="Arial"/>
          <w:i/>
          <w:iCs/>
          <w:color w:val="000000" w:themeColor="text1"/>
          <w:sz w:val="20"/>
          <w:szCs w:val="20"/>
          <w:u w:val="single"/>
        </w:rPr>
        <w:t>elements</w:t>
      </w:r>
    </w:p>
    <w:p w14:paraId="7D578DCA" w14:textId="77777777" w:rsidR="003E4767" w:rsidRDefault="003E4767" w:rsidP="00445B6C">
      <w:pPr>
        <w:pStyle w:val="CommentText"/>
        <w:spacing w:after="120"/>
        <w:rPr>
          <w:rFonts w:eastAsia="Arial" w:cs="Arial"/>
          <w:b/>
          <w:bCs/>
          <w:sz w:val="24"/>
          <w:szCs w:val="24"/>
        </w:rPr>
      </w:pPr>
    </w:p>
    <w:p w14:paraId="3EFC05D1" w14:textId="21D51B60" w:rsidR="00A455C2" w:rsidRPr="00445B6C" w:rsidRDefault="00370120" w:rsidP="006E1F76">
      <w:pPr>
        <w:pStyle w:val="CommentText"/>
        <w:spacing w:after="240"/>
        <w:rPr>
          <w:b/>
          <w:bCs/>
          <w:sz w:val="24"/>
          <w:szCs w:val="24"/>
        </w:rPr>
      </w:pPr>
      <w:r>
        <w:rPr>
          <w:rFonts w:eastAsia="Arial" w:cs="Arial"/>
          <w:b/>
          <w:bCs/>
          <w:sz w:val="24"/>
          <w:szCs w:val="24"/>
        </w:rPr>
        <w:t>Q</w:t>
      </w:r>
      <w:r w:rsidR="00741FC7" w:rsidRPr="00717354">
        <w:rPr>
          <w:rFonts w:eastAsia="Arial" w:cs="Arial"/>
          <w:b/>
          <w:bCs/>
          <w:sz w:val="24"/>
          <w:szCs w:val="24"/>
        </w:rPr>
        <w:t>1.</w:t>
      </w:r>
      <w:r w:rsidR="00741FC7" w:rsidRPr="00717354">
        <w:rPr>
          <w:b/>
          <w:bCs/>
          <w:sz w:val="24"/>
          <w:szCs w:val="24"/>
        </w:rPr>
        <w:t xml:space="preserve"> Do you agree with our proposal to combine the HRG and HRA uplift elements of the formula, using HRA uplift formula for £110m of the grant? (Yes – No – </w:t>
      </w:r>
      <w:r w:rsidR="00367220">
        <w:rPr>
          <w:b/>
          <w:bCs/>
          <w:sz w:val="24"/>
          <w:szCs w:val="24"/>
        </w:rPr>
        <w:t xml:space="preserve">Indifferent - </w:t>
      </w:r>
      <w:r w:rsidR="00741FC7" w:rsidRPr="00717354">
        <w:rPr>
          <w:b/>
          <w:bCs/>
          <w:sz w:val="24"/>
          <w:szCs w:val="24"/>
        </w:rPr>
        <w:t>Not sure)</w:t>
      </w:r>
    </w:p>
    <w:p w14:paraId="5EEF53A1" w14:textId="4E650F43" w:rsidR="0030237A" w:rsidRDefault="009A2D00" w:rsidP="00025BB6">
      <w:pPr>
        <w:pStyle w:val="Default"/>
        <w:spacing w:after="120"/>
        <w:rPr>
          <w:rFonts w:ascii="Arial" w:eastAsia="Arial" w:hAnsi="Arial" w:cs="Arial"/>
          <w:b/>
          <w:bCs/>
          <w:sz w:val="26"/>
          <w:szCs w:val="26"/>
        </w:rPr>
      </w:pPr>
      <w:r w:rsidRPr="00813A40">
        <w:rPr>
          <w:rFonts w:ascii="Arial" w:eastAsia="Arial" w:hAnsi="Arial" w:cs="Arial"/>
          <w:b/>
          <w:bCs/>
          <w:sz w:val="26"/>
          <w:szCs w:val="26"/>
        </w:rPr>
        <w:t>Applying a</w:t>
      </w:r>
      <w:r w:rsidR="000379DD">
        <w:rPr>
          <w:rFonts w:ascii="Arial" w:eastAsia="Arial" w:hAnsi="Arial" w:cs="Arial"/>
          <w:b/>
          <w:bCs/>
          <w:sz w:val="26"/>
          <w:szCs w:val="26"/>
        </w:rPr>
        <w:t>n</w:t>
      </w:r>
      <w:r w:rsidR="0030237A">
        <w:rPr>
          <w:rFonts w:ascii="Arial" w:eastAsia="Arial" w:hAnsi="Arial" w:cs="Arial"/>
          <w:b/>
          <w:bCs/>
          <w:sz w:val="26"/>
          <w:szCs w:val="26"/>
        </w:rPr>
        <w:t xml:space="preserve"> </w:t>
      </w:r>
      <w:r w:rsidRPr="00813A40">
        <w:rPr>
          <w:rFonts w:ascii="Arial" w:eastAsia="Arial" w:hAnsi="Arial" w:cs="Arial"/>
          <w:b/>
          <w:bCs/>
          <w:sz w:val="26"/>
          <w:szCs w:val="26"/>
        </w:rPr>
        <w:t>Area-Cost Adjustment to the</w:t>
      </w:r>
      <w:r w:rsidR="0030237A">
        <w:rPr>
          <w:rFonts w:ascii="Arial" w:eastAsia="Arial" w:hAnsi="Arial" w:cs="Arial"/>
          <w:b/>
          <w:bCs/>
          <w:sz w:val="26"/>
          <w:szCs w:val="26"/>
        </w:rPr>
        <w:t xml:space="preserve"> combined</w:t>
      </w:r>
      <w:r w:rsidRPr="00813A40">
        <w:rPr>
          <w:rFonts w:ascii="Arial" w:eastAsia="Arial" w:hAnsi="Arial" w:cs="Arial"/>
          <w:b/>
          <w:bCs/>
          <w:sz w:val="26"/>
          <w:szCs w:val="26"/>
        </w:rPr>
        <w:t xml:space="preserve"> £110m</w:t>
      </w:r>
    </w:p>
    <w:p w14:paraId="013D568A" w14:textId="1CE544ED" w:rsidR="00813A40" w:rsidRPr="00CE040C" w:rsidRDefault="0030237A" w:rsidP="00813A40">
      <w:pPr>
        <w:pStyle w:val="Default"/>
        <w:numPr>
          <w:ilvl w:val="1"/>
          <w:numId w:val="11"/>
        </w:numPr>
        <w:spacing w:after="120"/>
        <w:rPr>
          <w:rFonts w:ascii="Arial" w:eastAsia="Arial" w:hAnsi="Arial" w:cs="Arial"/>
          <w:b/>
          <w:bCs/>
        </w:rPr>
      </w:pPr>
      <w:r w:rsidRPr="00CE040C">
        <w:rPr>
          <w:rFonts w:ascii="Arial" w:eastAsia="Arial" w:hAnsi="Arial" w:cs="Arial"/>
        </w:rPr>
        <w:t>We currently apply an area-cost adjustment</w:t>
      </w:r>
      <w:r w:rsidR="00BF7046" w:rsidRPr="00CE040C">
        <w:rPr>
          <w:rFonts w:ascii="Arial" w:eastAsia="Arial" w:hAnsi="Arial" w:cs="Arial"/>
        </w:rPr>
        <w:t xml:space="preserve"> (ACA)</w:t>
      </w:r>
      <w:r w:rsidRPr="00CE040C">
        <w:rPr>
          <w:rFonts w:ascii="Arial" w:eastAsia="Arial" w:hAnsi="Arial" w:cs="Arial"/>
        </w:rPr>
        <w:t xml:space="preserve"> to one part of the </w:t>
      </w:r>
      <w:r w:rsidR="002773BC" w:rsidRPr="00CE040C">
        <w:rPr>
          <w:rFonts w:ascii="Arial" w:eastAsia="Arial" w:hAnsi="Arial" w:cs="Arial"/>
        </w:rPr>
        <w:t>HRA uplift formula, as set out in Figure 1.3 above. Th</w:t>
      </w:r>
      <w:r w:rsidR="00BF7046" w:rsidRPr="00CE040C">
        <w:rPr>
          <w:rFonts w:ascii="Arial" w:eastAsia="Arial" w:hAnsi="Arial" w:cs="Arial"/>
        </w:rPr>
        <w:t xml:space="preserve">e ACA </w:t>
      </w:r>
      <w:r w:rsidR="00DA3AF9" w:rsidRPr="00CE040C">
        <w:rPr>
          <w:rFonts w:ascii="Arial" w:eastAsia="Arial" w:hAnsi="Arial" w:cs="Arial"/>
        </w:rPr>
        <w:t>aims to</w:t>
      </w:r>
      <w:r w:rsidR="002773BC" w:rsidRPr="00CE040C">
        <w:rPr>
          <w:rFonts w:ascii="Arial" w:eastAsia="Arial" w:hAnsi="Arial" w:cs="Arial"/>
        </w:rPr>
        <w:t xml:space="preserve"> </w:t>
      </w:r>
      <w:r w:rsidR="00BF7046" w:rsidRPr="00CE040C">
        <w:rPr>
          <w:rFonts w:ascii="Arial" w:eastAsia="Arial" w:hAnsi="Arial" w:cs="Arial"/>
        </w:rPr>
        <w:t>reflect</w:t>
      </w:r>
      <w:r w:rsidR="002773BC" w:rsidRPr="00CE040C">
        <w:rPr>
          <w:rFonts w:ascii="Arial" w:eastAsia="Arial" w:hAnsi="Arial" w:cs="Arial"/>
        </w:rPr>
        <w:t xml:space="preserve"> the</w:t>
      </w:r>
      <w:r w:rsidR="00DA3AF9" w:rsidRPr="00CE040C">
        <w:rPr>
          <w:rFonts w:ascii="Arial" w:eastAsia="Arial" w:hAnsi="Arial" w:cs="Arial"/>
        </w:rPr>
        <w:t xml:space="preserve"> relative costs of </w:t>
      </w:r>
      <w:r w:rsidR="00CE040C">
        <w:rPr>
          <w:rFonts w:ascii="Arial" w:eastAsia="Arial" w:hAnsi="Arial" w:cs="Arial"/>
        </w:rPr>
        <w:lastRenderedPageBreak/>
        <w:t>staffing wages</w:t>
      </w:r>
      <w:r w:rsidR="00DA3AF9" w:rsidRPr="00CE040C">
        <w:rPr>
          <w:rFonts w:ascii="Arial" w:eastAsia="Arial" w:hAnsi="Arial" w:cs="Arial"/>
        </w:rPr>
        <w:t xml:space="preserve"> and providing</w:t>
      </w:r>
      <w:r w:rsidR="002773BC" w:rsidRPr="00CE040C">
        <w:rPr>
          <w:rFonts w:ascii="Arial" w:eastAsia="Arial" w:hAnsi="Arial" w:cs="Arial"/>
        </w:rPr>
        <w:t xml:space="preserve"> frontline services</w:t>
      </w:r>
      <w:r w:rsidR="006A6C64" w:rsidRPr="00CE040C">
        <w:rPr>
          <w:rFonts w:ascii="Arial" w:eastAsia="Arial" w:hAnsi="Arial" w:cs="Arial"/>
        </w:rPr>
        <w:t xml:space="preserve">. We propose to </w:t>
      </w:r>
      <w:r w:rsidR="00617470">
        <w:rPr>
          <w:rFonts w:ascii="Arial" w:eastAsia="Arial" w:hAnsi="Arial" w:cs="Arial"/>
        </w:rPr>
        <w:t>expand</w:t>
      </w:r>
      <w:r w:rsidR="00216AD7">
        <w:rPr>
          <w:rFonts w:ascii="Arial" w:eastAsia="Arial" w:hAnsi="Arial" w:cs="Arial"/>
        </w:rPr>
        <w:t xml:space="preserve"> this</w:t>
      </w:r>
      <w:r w:rsidR="006A6C64" w:rsidRPr="00CE040C">
        <w:rPr>
          <w:rFonts w:ascii="Arial" w:eastAsia="Arial" w:hAnsi="Arial" w:cs="Arial"/>
        </w:rPr>
        <w:t xml:space="preserve"> ACA</w:t>
      </w:r>
      <w:r w:rsidR="002C0EB2">
        <w:rPr>
          <w:rStyle w:val="FootnoteReference"/>
          <w:rFonts w:ascii="Arial" w:eastAsia="Arial" w:hAnsi="Arial" w:cs="Arial"/>
        </w:rPr>
        <w:footnoteReference w:id="5"/>
      </w:r>
      <w:r w:rsidR="006A6C64" w:rsidRPr="00CE040C">
        <w:rPr>
          <w:rFonts w:ascii="Arial" w:eastAsia="Arial" w:hAnsi="Arial" w:cs="Arial"/>
        </w:rPr>
        <w:t xml:space="preserve"> </w:t>
      </w:r>
      <w:r w:rsidR="005F7585" w:rsidRPr="00CE040C">
        <w:rPr>
          <w:rFonts w:ascii="Arial" w:eastAsia="Arial" w:hAnsi="Arial" w:cs="Arial"/>
        </w:rPr>
        <w:t xml:space="preserve">for the </w:t>
      </w:r>
      <w:r w:rsidR="00216AD7">
        <w:rPr>
          <w:rFonts w:ascii="Arial" w:eastAsia="Arial" w:hAnsi="Arial" w:cs="Arial"/>
        </w:rPr>
        <w:t xml:space="preserve">wider </w:t>
      </w:r>
      <w:r w:rsidR="005F7585" w:rsidRPr="00CE040C">
        <w:rPr>
          <w:rFonts w:ascii="Arial" w:eastAsia="Arial" w:hAnsi="Arial" w:cs="Arial"/>
        </w:rPr>
        <w:t>£110m element of the formula</w:t>
      </w:r>
      <w:r w:rsidR="00CE040C">
        <w:rPr>
          <w:rFonts w:ascii="Arial" w:eastAsia="Arial" w:hAnsi="Arial" w:cs="Arial"/>
        </w:rPr>
        <w:t xml:space="preserve"> for </w:t>
      </w:r>
      <w:r w:rsidR="0007568E">
        <w:rPr>
          <w:rFonts w:ascii="Arial" w:eastAsia="Arial" w:hAnsi="Arial" w:cs="Arial"/>
        </w:rPr>
        <w:t>all local</w:t>
      </w:r>
      <w:r w:rsidR="00CE040C">
        <w:rPr>
          <w:rFonts w:ascii="Arial" w:eastAsia="Arial" w:hAnsi="Arial" w:cs="Arial"/>
        </w:rPr>
        <w:t xml:space="preserve"> authorities</w:t>
      </w:r>
      <w:r w:rsidR="00407E2C">
        <w:rPr>
          <w:rFonts w:ascii="Arial" w:eastAsia="Arial" w:hAnsi="Arial" w:cs="Arial"/>
        </w:rPr>
        <w:t xml:space="preserve">. We propose this </w:t>
      </w:r>
      <w:r w:rsidR="00CE040C">
        <w:rPr>
          <w:rFonts w:ascii="Arial" w:eastAsia="Arial" w:hAnsi="Arial" w:cs="Arial"/>
        </w:rPr>
        <w:t xml:space="preserve">to recognise </w:t>
      </w:r>
      <w:r w:rsidR="00A1323B">
        <w:rPr>
          <w:rFonts w:ascii="Arial" w:eastAsia="Arial" w:hAnsi="Arial" w:cs="Arial"/>
        </w:rPr>
        <w:t xml:space="preserve">that it is more difficult to prevent homelessness in </w:t>
      </w:r>
      <w:r w:rsidR="00FD379D">
        <w:rPr>
          <w:rFonts w:ascii="Arial" w:eastAsia="Arial" w:hAnsi="Arial" w:cs="Arial"/>
        </w:rPr>
        <w:t>areas with high costs</w:t>
      </w:r>
      <w:r w:rsidR="00D95407">
        <w:rPr>
          <w:rFonts w:ascii="Arial" w:eastAsia="Arial" w:hAnsi="Arial" w:cs="Arial"/>
        </w:rPr>
        <w:t xml:space="preserve">, in particular areas with </w:t>
      </w:r>
      <w:r w:rsidR="00CE040C">
        <w:rPr>
          <w:rFonts w:ascii="Arial" w:eastAsia="Arial" w:hAnsi="Arial" w:cs="Arial"/>
        </w:rPr>
        <w:t xml:space="preserve">acute housing market pressures </w:t>
      </w:r>
      <w:r w:rsidR="00F22E4C">
        <w:rPr>
          <w:rFonts w:ascii="Arial" w:eastAsia="Arial" w:hAnsi="Arial" w:cs="Arial"/>
        </w:rPr>
        <w:t xml:space="preserve">that </w:t>
      </w:r>
      <w:r w:rsidR="00AB6BD4">
        <w:rPr>
          <w:rFonts w:ascii="Arial" w:eastAsia="Arial" w:hAnsi="Arial" w:cs="Arial"/>
        </w:rPr>
        <w:t xml:space="preserve">limit the supply of affordable properties and </w:t>
      </w:r>
      <w:r w:rsidR="00F22E4C">
        <w:rPr>
          <w:rFonts w:ascii="Arial" w:eastAsia="Arial" w:hAnsi="Arial" w:cs="Arial"/>
        </w:rPr>
        <w:t xml:space="preserve">make prevention </w:t>
      </w:r>
      <w:r w:rsidR="0096797B">
        <w:rPr>
          <w:rFonts w:ascii="Arial" w:eastAsia="Arial" w:hAnsi="Arial" w:cs="Arial"/>
        </w:rPr>
        <w:t xml:space="preserve">very challenging, </w:t>
      </w:r>
      <w:r w:rsidR="00CE040C">
        <w:rPr>
          <w:rFonts w:ascii="Arial" w:eastAsia="Arial" w:hAnsi="Arial" w:cs="Arial"/>
        </w:rPr>
        <w:t>in a way</w:t>
      </w:r>
      <w:r w:rsidR="005F7585" w:rsidRPr="00CE040C">
        <w:rPr>
          <w:rFonts w:ascii="Arial" w:eastAsia="Arial" w:hAnsi="Arial" w:cs="Arial"/>
        </w:rPr>
        <w:t xml:space="preserve"> which </w:t>
      </w:r>
      <w:r w:rsidR="00CE040C">
        <w:rPr>
          <w:rFonts w:ascii="Arial" w:eastAsia="Arial" w:hAnsi="Arial" w:cs="Arial"/>
        </w:rPr>
        <w:t>can be</w:t>
      </w:r>
      <w:r w:rsidR="005F7585" w:rsidRPr="00CE040C">
        <w:rPr>
          <w:rFonts w:ascii="Arial" w:eastAsia="Arial" w:hAnsi="Arial" w:cs="Arial"/>
        </w:rPr>
        <w:t xml:space="preserve"> difficult to capture </w:t>
      </w:r>
      <w:r w:rsidR="00CE040C">
        <w:rPr>
          <w:rFonts w:ascii="Arial" w:eastAsia="Arial" w:hAnsi="Arial" w:cs="Arial"/>
        </w:rPr>
        <w:t>through</w:t>
      </w:r>
      <w:r w:rsidR="005F7585" w:rsidRPr="00CE040C">
        <w:rPr>
          <w:rFonts w:ascii="Arial" w:eastAsia="Arial" w:hAnsi="Arial" w:cs="Arial"/>
        </w:rPr>
        <w:t xml:space="preserve"> traditional datasets.</w:t>
      </w:r>
    </w:p>
    <w:p w14:paraId="7B3C953F" w14:textId="6393E995" w:rsidR="00A455C2" w:rsidRPr="00CE040C" w:rsidRDefault="00CE040C" w:rsidP="00AD2225">
      <w:pPr>
        <w:pStyle w:val="CommentText"/>
        <w:spacing w:after="240"/>
        <w:rPr>
          <w:b/>
          <w:bCs/>
          <w:sz w:val="24"/>
          <w:szCs w:val="24"/>
        </w:rPr>
      </w:pPr>
      <w:r>
        <w:rPr>
          <w:rFonts w:eastAsia="Arial" w:cs="Arial"/>
          <w:b/>
          <w:bCs/>
          <w:sz w:val="24"/>
          <w:szCs w:val="24"/>
        </w:rPr>
        <w:t>Q2</w:t>
      </w:r>
      <w:r w:rsidRPr="00717354">
        <w:rPr>
          <w:rFonts w:eastAsia="Arial" w:cs="Arial"/>
          <w:b/>
          <w:bCs/>
          <w:sz w:val="24"/>
          <w:szCs w:val="24"/>
        </w:rPr>
        <w:t>.</w:t>
      </w:r>
      <w:r w:rsidRPr="00717354">
        <w:rPr>
          <w:b/>
          <w:bCs/>
          <w:sz w:val="24"/>
          <w:szCs w:val="24"/>
        </w:rPr>
        <w:t xml:space="preserve"> Do you agree with our proposal to </w:t>
      </w:r>
      <w:r w:rsidR="00407E2C">
        <w:rPr>
          <w:b/>
          <w:bCs/>
          <w:sz w:val="24"/>
          <w:szCs w:val="24"/>
        </w:rPr>
        <w:t xml:space="preserve">apply an </w:t>
      </w:r>
      <w:r w:rsidR="000379DD">
        <w:rPr>
          <w:b/>
          <w:bCs/>
          <w:sz w:val="24"/>
          <w:szCs w:val="24"/>
        </w:rPr>
        <w:t xml:space="preserve">overall </w:t>
      </w:r>
      <w:r w:rsidR="00407E2C">
        <w:rPr>
          <w:b/>
          <w:bCs/>
          <w:sz w:val="24"/>
          <w:szCs w:val="24"/>
        </w:rPr>
        <w:t>ACA in the £110m element of the formula?</w:t>
      </w:r>
      <w:r w:rsidRPr="00717354">
        <w:rPr>
          <w:b/>
          <w:bCs/>
          <w:sz w:val="24"/>
          <w:szCs w:val="24"/>
        </w:rPr>
        <w:t xml:space="preserve"> </w:t>
      </w:r>
      <w:r w:rsidR="007D7B4A" w:rsidRPr="00717354">
        <w:rPr>
          <w:b/>
          <w:bCs/>
          <w:sz w:val="24"/>
          <w:szCs w:val="24"/>
        </w:rPr>
        <w:t xml:space="preserve">(Yes – No – </w:t>
      </w:r>
      <w:r w:rsidR="00367220">
        <w:rPr>
          <w:b/>
          <w:bCs/>
          <w:sz w:val="24"/>
          <w:szCs w:val="24"/>
        </w:rPr>
        <w:t xml:space="preserve">Indifferent - </w:t>
      </w:r>
      <w:r w:rsidR="007D7B4A" w:rsidRPr="00717354">
        <w:rPr>
          <w:b/>
          <w:bCs/>
          <w:sz w:val="24"/>
          <w:szCs w:val="24"/>
        </w:rPr>
        <w:t>Not sure)</w:t>
      </w:r>
    </w:p>
    <w:p w14:paraId="4A1A6645" w14:textId="5310837D" w:rsidR="00025BB6" w:rsidRPr="00445B6C" w:rsidRDefault="00025BB6" w:rsidP="00025BB6">
      <w:pPr>
        <w:pStyle w:val="Default"/>
        <w:spacing w:after="120"/>
        <w:rPr>
          <w:rFonts w:ascii="Arial" w:eastAsia="Arial" w:hAnsi="Arial" w:cs="Arial"/>
          <w:b/>
          <w:bCs/>
          <w:sz w:val="26"/>
          <w:szCs w:val="26"/>
        </w:rPr>
      </w:pPr>
      <w:r w:rsidRPr="00445B6C">
        <w:rPr>
          <w:rFonts w:ascii="Arial" w:eastAsia="Arial" w:hAnsi="Arial" w:cs="Arial"/>
          <w:b/>
          <w:bCs/>
          <w:sz w:val="26"/>
          <w:szCs w:val="26"/>
        </w:rPr>
        <w:t>Determining a new proxy for temporary accommodation pressures within the FHSG element (£200m)</w:t>
      </w:r>
    </w:p>
    <w:p w14:paraId="4863178D" w14:textId="17E8374A" w:rsidR="00A32F28" w:rsidRPr="00A32F28" w:rsidRDefault="00A32F28" w:rsidP="002129EE">
      <w:pPr>
        <w:pStyle w:val="Default"/>
        <w:numPr>
          <w:ilvl w:val="1"/>
          <w:numId w:val="11"/>
        </w:numPr>
        <w:spacing w:after="120"/>
        <w:rPr>
          <w:rFonts w:ascii="Arial" w:eastAsia="Arial" w:hAnsi="Arial" w:cs="Arial"/>
        </w:rPr>
      </w:pPr>
      <w:r>
        <w:rPr>
          <w:rFonts w:ascii="Arial" w:hAnsi="Arial" w:cs="Arial"/>
        </w:rPr>
        <w:t>W</w:t>
      </w:r>
      <w:r w:rsidRPr="00F72595">
        <w:rPr>
          <w:rFonts w:ascii="Arial" w:hAnsi="Arial" w:cs="Arial"/>
        </w:rPr>
        <w:t xml:space="preserve">e recognise that some areas have higher TA pressures than others and that this can be driven by factors outside of a local authority’s control – such as </w:t>
      </w:r>
      <w:r w:rsidR="08DCE724" w:rsidRPr="57D2B8DC">
        <w:rPr>
          <w:rFonts w:ascii="Arial" w:hAnsi="Arial" w:cs="Arial"/>
        </w:rPr>
        <w:t xml:space="preserve">the affordability of housing in the </w:t>
      </w:r>
      <w:r w:rsidRPr="00F72595">
        <w:rPr>
          <w:rFonts w:ascii="Arial" w:hAnsi="Arial" w:cs="Arial"/>
        </w:rPr>
        <w:t xml:space="preserve">local </w:t>
      </w:r>
      <w:r w:rsidR="08DCE724" w:rsidRPr="57D2B8DC">
        <w:rPr>
          <w:rFonts w:ascii="Arial" w:hAnsi="Arial" w:cs="Arial"/>
        </w:rPr>
        <w:t>area.</w:t>
      </w:r>
      <w:r w:rsidRPr="00F72595">
        <w:rPr>
          <w:rFonts w:ascii="Arial" w:hAnsi="Arial" w:cs="Arial"/>
        </w:rPr>
        <w:t xml:space="preserve"> </w:t>
      </w:r>
      <w:r w:rsidR="00BF2A6A" w:rsidRPr="008F704C">
        <w:rPr>
          <w:rFonts w:ascii="Arial" w:eastAsia="Arial" w:hAnsi="Arial" w:cs="Arial"/>
        </w:rPr>
        <w:t>Th</w:t>
      </w:r>
      <w:r w:rsidR="008C4742">
        <w:rPr>
          <w:rFonts w:ascii="Arial" w:eastAsia="Arial" w:hAnsi="Arial" w:cs="Arial"/>
        </w:rPr>
        <w:t>e FHSG</w:t>
      </w:r>
      <w:r w:rsidR="00BF2A6A" w:rsidRPr="008F704C">
        <w:rPr>
          <w:rFonts w:ascii="Arial" w:eastAsia="Arial" w:hAnsi="Arial" w:cs="Arial"/>
        </w:rPr>
        <w:t xml:space="preserve"> element of the formula </w:t>
      </w:r>
      <w:r w:rsidR="004A5B58">
        <w:rPr>
          <w:rFonts w:ascii="Arial" w:eastAsia="Arial" w:hAnsi="Arial" w:cs="Arial"/>
        </w:rPr>
        <w:t>a</w:t>
      </w:r>
      <w:r w:rsidR="00BF2A6A" w:rsidRPr="008F704C">
        <w:rPr>
          <w:rFonts w:ascii="Arial" w:eastAsia="Arial" w:hAnsi="Arial" w:cs="Arial"/>
          <w:color w:val="000000" w:themeColor="text1"/>
        </w:rPr>
        <w:t xml:space="preserve">ims to estimate relative temporary accommodation (TA) pressures. It uses historic data from the defunct DWP Temporary Accommodation Management Fee (TAMF) – a grant specifically used to fund the administration of TA for LAs, but which </w:t>
      </w:r>
      <w:r w:rsidR="7795D779" w:rsidRPr="57D2B8DC">
        <w:rPr>
          <w:rFonts w:ascii="Arial" w:eastAsia="Arial" w:hAnsi="Arial" w:cs="Arial"/>
          <w:color w:val="000000" w:themeColor="text1"/>
        </w:rPr>
        <w:t xml:space="preserve">was discontinued in 2016. </w:t>
      </w:r>
      <w:r w:rsidR="00BF2A6A" w:rsidRPr="008F704C">
        <w:rPr>
          <w:rFonts w:ascii="Arial" w:eastAsia="Arial" w:hAnsi="Arial" w:cs="Arial"/>
          <w:color w:val="000000" w:themeColor="text1"/>
        </w:rPr>
        <w:t xml:space="preserve">The formula uses </w:t>
      </w:r>
      <w:r w:rsidR="7795D779" w:rsidRPr="57D2B8DC">
        <w:rPr>
          <w:rFonts w:ascii="Arial" w:eastAsia="Arial" w:hAnsi="Arial" w:cs="Arial"/>
          <w:color w:val="000000" w:themeColor="text1"/>
        </w:rPr>
        <w:t xml:space="preserve">DLUHC </w:t>
      </w:r>
      <w:r w:rsidR="00BF2A6A" w:rsidRPr="008F704C">
        <w:rPr>
          <w:rFonts w:ascii="Arial" w:eastAsia="Arial" w:hAnsi="Arial" w:cs="Arial"/>
          <w:color w:val="000000" w:themeColor="text1"/>
        </w:rPr>
        <w:t>data to estimate levels of TAMF the local authority would have received in 2016/17, projected into the future</w:t>
      </w:r>
      <w:r w:rsidR="006729B4">
        <w:rPr>
          <w:rFonts w:ascii="Arial" w:eastAsia="Arial" w:hAnsi="Arial" w:cs="Arial"/>
          <w:color w:val="000000" w:themeColor="text1"/>
        </w:rPr>
        <w:t xml:space="preserve">, </w:t>
      </w:r>
      <w:r w:rsidR="006729B4" w:rsidRPr="006729B4">
        <w:rPr>
          <w:rFonts w:ascii="Arial" w:eastAsia="Arial" w:hAnsi="Arial" w:cs="Arial"/>
          <w:color w:val="000000" w:themeColor="text1"/>
        </w:rPr>
        <w:t>ensuring no authority receive</w:t>
      </w:r>
      <w:r w:rsidR="006729B4">
        <w:rPr>
          <w:rFonts w:ascii="Arial" w:eastAsia="Arial" w:hAnsi="Arial" w:cs="Arial"/>
          <w:color w:val="000000" w:themeColor="text1"/>
        </w:rPr>
        <w:t>d</w:t>
      </w:r>
      <w:r w:rsidR="006729B4" w:rsidRPr="006729B4">
        <w:rPr>
          <w:rFonts w:ascii="Arial" w:eastAsia="Arial" w:hAnsi="Arial" w:cs="Arial"/>
          <w:color w:val="000000" w:themeColor="text1"/>
        </w:rPr>
        <w:t xml:space="preserve"> less than 75% of what we estimate they would have received under the TAMF</w:t>
      </w:r>
      <w:r w:rsidR="00BF2A6A" w:rsidRPr="008F704C">
        <w:rPr>
          <w:rFonts w:ascii="Arial" w:eastAsia="Arial" w:hAnsi="Arial" w:cs="Arial"/>
          <w:color w:val="000000" w:themeColor="text1"/>
        </w:rPr>
        <w:t xml:space="preserve"> (although cash allocations have been rolled over since 2019/20). </w:t>
      </w:r>
    </w:p>
    <w:p w14:paraId="2FFD2E3E" w14:textId="464C45CC" w:rsidR="00BF2A6A" w:rsidRPr="00A32F28" w:rsidRDefault="7795D779" w:rsidP="00225963">
      <w:pPr>
        <w:pStyle w:val="Default"/>
        <w:numPr>
          <w:ilvl w:val="1"/>
          <w:numId w:val="11"/>
        </w:numPr>
        <w:spacing w:after="120"/>
        <w:rPr>
          <w:rFonts w:ascii="Arial" w:eastAsia="Arial" w:hAnsi="Arial" w:cs="Arial"/>
        </w:rPr>
      </w:pPr>
      <w:r w:rsidRPr="57D2B8DC">
        <w:rPr>
          <w:rFonts w:ascii="Arial" w:eastAsia="Arial" w:hAnsi="Arial" w:cs="Arial"/>
          <w:color w:val="000000" w:themeColor="text1"/>
        </w:rPr>
        <w:t>It is not reasonable</w:t>
      </w:r>
      <w:r w:rsidR="00BF2A6A" w:rsidRPr="00A32F28">
        <w:rPr>
          <w:rFonts w:ascii="Arial" w:eastAsia="Arial" w:hAnsi="Arial" w:cs="Arial"/>
          <w:color w:val="000000" w:themeColor="text1"/>
        </w:rPr>
        <w:t xml:space="preserve"> to continue using this data source in future years, </w:t>
      </w:r>
      <w:r w:rsidRPr="57D2B8DC">
        <w:rPr>
          <w:rFonts w:ascii="Arial" w:eastAsia="Arial" w:hAnsi="Arial" w:cs="Arial"/>
          <w:color w:val="000000" w:themeColor="text1"/>
        </w:rPr>
        <w:t>given it may not be representative</w:t>
      </w:r>
      <w:r w:rsidR="00BF2A6A" w:rsidRPr="00A32F28">
        <w:rPr>
          <w:rFonts w:ascii="Arial" w:eastAsia="Arial" w:hAnsi="Arial" w:cs="Arial"/>
          <w:color w:val="000000" w:themeColor="text1"/>
        </w:rPr>
        <w:t xml:space="preserve"> of </w:t>
      </w:r>
      <w:r w:rsidR="00717378">
        <w:rPr>
          <w:rFonts w:ascii="Arial" w:eastAsia="Arial" w:hAnsi="Arial" w:cs="Arial"/>
          <w:color w:val="000000" w:themeColor="text1"/>
        </w:rPr>
        <w:t>current pressures</w:t>
      </w:r>
      <w:r w:rsidR="00BF2A6A" w:rsidRPr="00A32F28">
        <w:rPr>
          <w:rFonts w:ascii="Arial" w:eastAsia="Arial" w:hAnsi="Arial" w:cs="Arial"/>
          <w:color w:val="000000" w:themeColor="text1"/>
        </w:rPr>
        <w:t xml:space="preserve">. We therefore </w:t>
      </w:r>
      <w:r w:rsidR="00025BB6" w:rsidRPr="00A32F28">
        <w:rPr>
          <w:rFonts w:ascii="Arial" w:eastAsia="Arial" w:hAnsi="Arial" w:cs="Arial"/>
          <w:color w:val="000000" w:themeColor="text1"/>
        </w:rPr>
        <w:t xml:space="preserve">propose to </w:t>
      </w:r>
      <w:r w:rsidR="3C0EBC73" w:rsidRPr="57D2B8DC">
        <w:rPr>
          <w:rFonts w:ascii="Arial" w:eastAsia="Arial" w:hAnsi="Arial" w:cs="Arial"/>
          <w:color w:val="000000" w:themeColor="text1"/>
        </w:rPr>
        <w:t xml:space="preserve">amend </w:t>
      </w:r>
      <w:r w:rsidR="00025BB6" w:rsidRPr="00A32F28">
        <w:rPr>
          <w:rFonts w:ascii="Arial" w:eastAsia="Arial" w:hAnsi="Arial" w:cs="Arial"/>
          <w:color w:val="000000" w:themeColor="text1"/>
        </w:rPr>
        <w:t xml:space="preserve">the element of the funding formula which is based on the historic FHSG formula, by updating the </w:t>
      </w:r>
      <w:r w:rsidR="00BF2A6A" w:rsidRPr="00A32F28">
        <w:rPr>
          <w:rFonts w:ascii="Arial" w:eastAsia="Arial" w:hAnsi="Arial" w:cs="Arial"/>
        </w:rPr>
        <w:t>data</w:t>
      </w:r>
      <w:r w:rsidR="00025BB6" w:rsidRPr="00A32F28">
        <w:rPr>
          <w:rFonts w:ascii="Arial" w:eastAsia="Arial" w:hAnsi="Arial" w:cs="Arial"/>
        </w:rPr>
        <w:t xml:space="preserve"> source</w:t>
      </w:r>
      <w:r w:rsidR="00BF2A6A" w:rsidRPr="00A32F28">
        <w:rPr>
          <w:rFonts w:ascii="Arial" w:eastAsia="Arial" w:hAnsi="Arial" w:cs="Arial"/>
        </w:rPr>
        <w:t xml:space="preserve"> we </w:t>
      </w:r>
      <w:r w:rsidR="00BF2A6A" w:rsidRPr="00A32F28">
        <w:rPr>
          <w:rFonts w:ascii="Arial" w:eastAsia="Arial" w:hAnsi="Arial" w:cs="Arial"/>
          <w:color w:val="auto"/>
        </w:rPr>
        <w:t>use as an indicator for TA pressures</w:t>
      </w:r>
      <w:r w:rsidRPr="57D2B8DC">
        <w:rPr>
          <w:rFonts w:ascii="Arial" w:eastAsia="Arial" w:hAnsi="Arial" w:cs="Arial"/>
          <w:color w:val="auto"/>
        </w:rPr>
        <w:t>. This will</w:t>
      </w:r>
      <w:r w:rsidR="00BF2A6A" w:rsidRPr="00A32F28">
        <w:rPr>
          <w:rFonts w:ascii="Arial" w:eastAsia="Arial" w:hAnsi="Arial" w:cs="Arial"/>
          <w:color w:val="auto"/>
        </w:rPr>
        <w:t xml:space="preserve"> </w:t>
      </w:r>
      <w:r w:rsidRPr="57D2B8DC">
        <w:rPr>
          <w:rFonts w:ascii="Arial" w:eastAsia="Arial" w:hAnsi="Arial" w:cs="Arial"/>
          <w:color w:val="auto"/>
        </w:rPr>
        <w:t xml:space="preserve">support </w:t>
      </w:r>
      <w:r w:rsidR="00BF2A6A" w:rsidRPr="00A32F28">
        <w:rPr>
          <w:rFonts w:ascii="Arial" w:eastAsia="Arial" w:hAnsi="Arial" w:cs="Arial"/>
          <w:color w:val="auto"/>
        </w:rPr>
        <w:t xml:space="preserve">a fair </w:t>
      </w:r>
      <w:r w:rsidR="00EF65B5" w:rsidRPr="00A32F28">
        <w:rPr>
          <w:rFonts w:ascii="Arial" w:eastAsia="Arial" w:hAnsi="Arial" w:cs="Arial"/>
          <w:color w:val="auto"/>
        </w:rPr>
        <w:t xml:space="preserve">and sustainable </w:t>
      </w:r>
      <w:r w:rsidR="00BF2A6A" w:rsidRPr="00A32F28">
        <w:rPr>
          <w:rFonts w:ascii="Arial" w:eastAsia="Arial" w:hAnsi="Arial" w:cs="Arial"/>
          <w:color w:val="auto"/>
        </w:rPr>
        <w:t>way</w:t>
      </w:r>
      <w:r w:rsidRPr="57D2B8DC">
        <w:rPr>
          <w:rFonts w:ascii="Arial" w:eastAsia="Arial" w:hAnsi="Arial" w:cs="Arial"/>
          <w:color w:val="auto"/>
        </w:rPr>
        <w:t xml:space="preserve"> of allocating the funding.</w:t>
      </w:r>
      <w:r w:rsidR="00A32F28" w:rsidRPr="00A32F28">
        <w:rPr>
          <w:rFonts w:ascii="Arial" w:eastAsia="Arial" w:hAnsi="Arial" w:cs="Arial"/>
        </w:rPr>
        <w:t xml:space="preserve"> </w:t>
      </w:r>
      <w:r w:rsidR="08DCE724" w:rsidRPr="57D2B8DC">
        <w:rPr>
          <w:rFonts w:ascii="Arial" w:eastAsia="Arial" w:hAnsi="Arial" w:cs="Arial"/>
        </w:rPr>
        <w:t>There are different</w:t>
      </w:r>
      <w:r w:rsidR="00A32F28">
        <w:rPr>
          <w:rFonts w:ascii="Arial" w:eastAsia="Arial" w:hAnsi="Arial" w:cs="Arial"/>
        </w:rPr>
        <w:t xml:space="preserve"> data</w:t>
      </w:r>
      <w:r w:rsidR="00A32F28" w:rsidRPr="00F72595">
        <w:rPr>
          <w:rFonts w:ascii="Arial" w:eastAsia="Arial" w:hAnsi="Arial" w:cs="Arial"/>
        </w:rPr>
        <w:t xml:space="preserve"> </w:t>
      </w:r>
      <w:r w:rsidR="08DCE724" w:rsidRPr="57D2B8DC">
        <w:rPr>
          <w:rFonts w:ascii="Arial" w:eastAsia="Arial" w:hAnsi="Arial" w:cs="Arial"/>
        </w:rPr>
        <w:t>sources that can</w:t>
      </w:r>
      <w:r w:rsidR="00A32F28" w:rsidRPr="00F72595">
        <w:rPr>
          <w:rFonts w:ascii="Arial" w:eastAsia="Arial" w:hAnsi="Arial" w:cs="Arial"/>
        </w:rPr>
        <w:t xml:space="preserve"> provide a reliable indicator of the drivers of TA pressures.</w:t>
      </w:r>
    </w:p>
    <w:p w14:paraId="324818DB" w14:textId="76A76118" w:rsidR="00E90A21" w:rsidRPr="001A2BBA" w:rsidRDefault="00E90A21" w:rsidP="001A2BBA">
      <w:pPr>
        <w:pStyle w:val="Default"/>
        <w:numPr>
          <w:ilvl w:val="1"/>
          <w:numId w:val="11"/>
        </w:numPr>
        <w:spacing w:after="120"/>
        <w:rPr>
          <w:rFonts w:ascii="Arial" w:eastAsia="Arial" w:hAnsi="Arial" w:cs="Arial"/>
        </w:rPr>
      </w:pPr>
      <w:r w:rsidRPr="001A2BBA">
        <w:rPr>
          <w:rFonts w:ascii="Arial" w:eastAsia="Arial" w:hAnsi="Arial" w:cs="Arial"/>
        </w:rPr>
        <w:t xml:space="preserve">In light of the above, we have outlined 2 options which we consider to be reasonable and proportionate approaches to updating </w:t>
      </w:r>
      <w:r w:rsidR="00445B6C" w:rsidRPr="001A2BBA">
        <w:rPr>
          <w:rFonts w:ascii="Arial" w:eastAsia="Arial" w:hAnsi="Arial" w:cs="Arial"/>
        </w:rPr>
        <w:t>the FHSG element of the formula to remove the TAMF</w:t>
      </w:r>
      <w:r w:rsidR="001A4E90" w:rsidRPr="001A2BBA">
        <w:rPr>
          <w:rFonts w:ascii="Arial" w:eastAsia="Arial" w:hAnsi="Arial" w:cs="Arial"/>
        </w:rPr>
        <w:t xml:space="preserve"> </w:t>
      </w:r>
      <w:r w:rsidR="00445B6C" w:rsidRPr="001A2BBA">
        <w:rPr>
          <w:rFonts w:ascii="Arial" w:eastAsia="Arial" w:hAnsi="Arial" w:cs="Arial"/>
        </w:rPr>
        <w:t xml:space="preserve">element </w:t>
      </w:r>
      <w:r w:rsidRPr="001A2BBA">
        <w:rPr>
          <w:rFonts w:ascii="Arial" w:eastAsia="Arial" w:hAnsi="Arial" w:cs="Arial"/>
          <w:color w:val="000000" w:themeColor="text1"/>
        </w:rPr>
        <w:t>for 2023-24</w:t>
      </w:r>
      <w:r w:rsidR="008325C8">
        <w:rPr>
          <w:rFonts w:ascii="Arial" w:eastAsia="Arial" w:hAnsi="Arial" w:cs="Arial"/>
          <w:color w:val="000000" w:themeColor="text1"/>
        </w:rPr>
        <w:t xml:space="preserve"> onwards</w:t>
      </w:r>
      <w:r w:rsidRPr="001A2BBA">
        <w:rPr>
          <w:rFonts w:ascii="Arial" w:eastAsia="Arial" w:hAnsi="Arial" w:cs="Arial"/>
          <w:color w:val="000000" w:themeColor="text1"/>
        </w:rPr>
        <w:t xml:space="preserve"> (subject to funding </w:t>
      </w:r>
      <w:r w:rsidR="00960231" w:rsidRPr="001A2BBA">
        <w:rPr>
          <w:rFonts w:ascii="Arial" w:eastAsia="Arial" w:hAnsi="Arial" w:cs="Arial"/>
          <w:color w:val="000000" w:themeColor="text1"/>
        </w:rPr>
        <w:t xml:space="preserve">decisions </w:t>
      </w:r>
      <w:r w:rsidRPr="001A2BBA">
        <w:rPr>
          <w:rFonts w:ascii="Arial" w:eastAsia="Arial" w:hAnsi="Arial" w:cs="Arial"/>
          <w:color w:val="000000" w:themeColor="text1"/>
        </w:rPr>
        <w:t>at subsequent Spending Reviews):</w:t>
      </w:r>
    </w:p>
    <w:p w14:paraId="7DB5AEF5" w14:textId="206EEFA3" w:rsidR="00E90A21" w:rsidRPr="00E438B3" w:rsidRDefault="00E90A21" w:rsidP="00E438B3">
      <w:pPr>
        <w:spacing w:after="240"/>
        <w:rPr>
          <w:rFonts w:eastAsia="Arial" w:cs="Arial"/>
          <w:color w:val="000000" w:themeColor="text1"/>
          <w:u w:val="single"/>
        </w:rPr>
      </w:pPr>
      <w:r w:rsidRPr="00E438B3">
        <w:rPr>
          <w:rFonts w:eastAsia="Arial" w:cs="Arial"/>
          <w:color w:val="000000" w:themeColor="text1"/>
          <w:u w:val="single"/>
        </w:rPr>
        <w:t>Option 1:</w:t>
      </w:r>
    </w:p>
    <w:p w14:paraId="5B62DAFE" w14:textId="4DB0942D" w:rsidR="00E90A21" w:rsidRPr="0031036C" w:rsidRDefault="00E90A21" w:rsidP="00E438B3">
      <w:pPr>
        <w:pStyle w:val="ListParagraph"/>
        <w:numPr>
          <w:ilvl w:val="0"/>
          <w:numId w:val="15"/>
        </w:numPr>
        <w:spacing w:after="120" w:line="259" w:lineRule="auto"/>
        <w:ind w:left="714" w:hanging="357"/>
        <w:rPr>
          <w:rFonts w:ascii="Arial" w:eastAsia="Arial" w:hAnsi="Arial"/>
          <w:color w:val="000000" w:themeColor="text1"/>
        </w:rPr>
      </w:pPr>
      <w:r>
        <w:rPr>
          <w:rFonts w:ascii="Arial" w:eastAsia="Arial" w:hAnsi="Arial"/>
          <w:color w:val="000000"/>
        </w:rPr>
        <w:t>R</w:t>
      </w:r>
      <w:r w:rsidRPr="009F035B">
        <w:rPr>
          <w:rFonts w:ascii="Arial" w:eastAsia="Arial" w:hAnsi="Arial"/>
          <w:color w:val="000000"/>
        </w:rPr>
        <w:t>eplac</w:t>
      </w:r>
      <w:r>
        <w:rPr>
          <w:rFonts w:ascii="Arial" w:eastAsia="Arial" w:hAnsi="Arial"/>
          <w:color w:val="000000"/>
        </w:rPr>
        <w:t>e</w:t>
      </w:r>
      <w:r w:rsidRPr="009F035B">
        <w:rPr>
          <w:rFonts w:ascii="Arial" w:eastAsia="Arial" w:hAnsi="Arial"/>
          <w:color w:val="000000"/>
        </w:rPr>
        <w:t xml:space="preserve"> the TAMF </w:t>
      </w:r>
      <w:r w:rsidR="00073B98">
        <w:rPr>
          <w:rFonts w:ascii="Arial" w:eastAsia="Arial" w:hAnsi="Arial"/>
          <w:color w:val="000000"/>
        </w:rPr>
        <w:t>element</w:t>
      </w:r>
      <w:r w:rsidRPr="009F035B">
        <w:rPr>
          <w:rFonts w:ascii="Arial" w:eastAsia="Arial" w:hAnsi="Arial"/>
          <w:color w:val="000000"/>
        </w:rPr>
        <w:t xml:space="preserve"> </w:t>
      </w:r>
      <w:r w:rsidR="00073B98">
        <w:rPr>
          <w:rFonts w:ascii="Arial" w:eastAsia="Arial" w:hAnsi="Arial"/>
          <w:color w:val="000000"/>
        </w:rPr>
        <w:t xml:space="preserve">of the formula </w:t>
      </w:r>
      <w:r w:rsidRPr="009F035B">
        <w:rPr>
          <w:rFonts w:ascii="Arial" w:eastAsia="Arial" w:hAnsi="Arial"/>
          <w:color w:val="000000"/>
        </w:rPr>
        <w:t xml:space="preserve">with </w:t>
      </w:r>
      <w:r w:rsidR="000A7214">
        <w:rPr>
          <w:rFonts w:ascii="Arial" w:eastAsia="Arial" w:hAnsi="Arial"/>
          <w:color w:val="000000"/>
        </w:rPr>
        <w:t xml:space="preserve">90% of </w:t>
      </w:r>
      <w:r w:rsidRPr="009F035B">
        <w:rPr>
          <w:rFonts w:ascii="Arial" w:eastAsia="Arial" w:hAnsi="Arial"/>
          <w:color w:val="000000"/>
        </w:rPr>
        <w:t>three-year average of historic temporary accommodation (TA) spend</w:t>
      </w:r>
      <w:r>
        <w:rPr>
          <w:rStyle w:val="FootnoteReference"/>
          <w:rFonts w:ascii="Arial" w:eastAsia="Arial" w:hAnsi="Arial"/>
          <w:color w:val="000000"/>
        </w:rPr>
        <w:footnoteReference w:id="6"/>
      </w:r>
      <w:r w:rsidRPr="009F035B">
        <w:rPr>
          <w:rFonts w:ascii="Arial" w:eastAsia="Arial" w:hAnsi="Arial"/>
          <w:color w:val="000000"/>
        </w:rPr>
        <w:t>.</w:t>
      </w:r>
    </w:p>
    <w:p w14:paraId="3CAA2C52" w14:textId="58BD3A64" w:rsidR="00445B6C" w:rsidRPr="004B7436" w:rsidRDefault="00445B6C" w:rsidP="00E438B3">
      <w:pPr>
        <w:spacing w:after="120" w:line="259" w:lineRule="auto"/>
        <w:rPr>
          <w:rFonts w:eastAsia="Arial"/>
          <w:color w:val="000000" w:themeColor="text1"/>
        </w:rPr>
      </w:pPr>
      <w:r w:rsidRPr="004B7436">
        <w:rPr>
          <w:rFonts w:eastAsia="Arial"/>
        </w:rPr>
        <w:t xml:space="preserve">The FHSG element of the formula would still be calculated in the same way as before, but with </w:t>
      </w:r>
      <w:r w:rsidR="006215B4">
        <w:rPr>
          <w:rFonts w:eastAsia="Arial"/>
        </w:rPr>
        <w:t xml:space="preserve">90% of </w:t>
      </w:r>
      <w:r w:rsidRPr="004B7436">
        <w:rPr>
          <w:rFonts w:eastAsia="Arial"/>
        </w:rPr>
        <w:t>historic TA spend now replacing the TAMF</w:t>
      </w:r>
      <w:r w:rsidR="00073B98">
        <w:rPr>
          <w:rFonts w:eastAsia="Arial"/>
        </w:rPr>
        <w:t xml:space="preserve"> element of the formula</w:t>
      </w:r>
      <w:r w:rsidRPr="004B7436">
        <w:rPr>
          <w:rFonts w:eastAsia="Arial"/>
        </w:rPr>
        <w:t xml:space="preserve">. Local authorities </w:t>
      </w:r>
      <w:r w:rsidR="00D146F1">
        <w:rPr>
          <w:rFonts w:eastAsia="Arial"/>
        </w:rPr>
        <w:t>would</w:t>
      </w:r>
      <w:r w:rsidR="00D146F1" w:rsidRPr="004B7436">
        <w:rPr>
          <w:rFonts w:eastAsia="Arial"/>
        </w:rPr>
        <w:t xml:space="preserve"> </w:t>
      </w:r>
      <w:r w:rsidRPr="004B7436">
        <w:rPr>
          <w:rFonts w:eastAsia="Arial"/>
        </w:rPr>
        <w:t>be allocated</w:t>
      </w:r>
      <w:r w:rsidR="000E028C">
        <w:rPr>
          <w:rFonts w:eastAsia="Arial"/>
        </w:rPr>
        <w:t xml:space="preserve"> either</w:t>
      </w:r>
      <w:r w:rsidRPr="004B7436" w:rsidDel="00EB79F2">
        <w:rPr>
          <w:rFonts w:eastAsia="Arial"/>
        </w:rPr>
        <w:t xml:space="preserve"> the greater of their share of</w:t>
      </w:r>
      <w:r w:rsidRPr="004B7436">
        <w:rPr>
          <w:rFonts w:eastAsia="Arial"/>
        </w:rPr>
        <w:t>:</w:t>
      </w:r>
    </w:p>
    <w:p w14:paraId="67732B04" w14:textId="16B55B17" w:rsidR="00445B6C" w:rsidRPr="0094451D" w:rsidRDefault="00F85CD8" w:rsidP="00E438B3">
      <w:pPr>
        <w:pStyle w:val="ListParagraph"/>
        <w:numPr>
          <w:ilvl w:val="1"/>
          <w:numId w:val="15"/>
        </w:numPr>
        <w:spacing w:after="120" w:line="259" w:lineRule="auto"/>
        <w:ind w:left="1434" w:hanging="357"/>
        <w:contextualSpacing w:val="0"/>
        <w:rPr>
          <w:rFonts w:ascii="Arial" w:eastAsia="Arial" w:hAnsi="Arial"/>
          <w:color w:val="000000" w:themeColor="text1"/>
        </w:rPr>
      </w:pPr>
      <w:r>
        <w:rPr>
          <w:rFonts w:ascii="Arial" w:eastAsia="Arial" w:hAnsi="Arial"/>
        </w:rPr>
        <w:lastRenderedPageBreak/>
        <w:t>T</w:t>
      </w:r>
      <w:r w:rsidR="006517C3">
        <w:rPr>
          <w:rFonts w:ascii="Arial" w:eastAsia="Arial" w:hAnsi="Arial"/>
        </w:rPr>
        <w:t>he</w:t>
      </w:r>
      <w:r w:rsidR="00445B6C" w:rsidRPr="0094451D">
        <w:rPr>
          <w:rFonts w:ascii="Arial" w:eastAsia="Arial" w:hAnsi="Arial"/>
        </w:rPr>
        <w:t xml:space="preserve"> sum of their homelessness acceptances, prevention into the PRS, relief into the PRS</w:t>
      </w:r>
      <w:r w:rsidR="00B14014">
        <w:rPr>
          <w:rFonts w:ascii="Arial" w:eastAsia="Arial" w:hAnsi="Arial"/>
        </w:rPr>
        <w:t xml:space="preserve">, accounting for PRS </w:t>
      </w:r>
      <w:r w:rsidR="00445B6C" w:rsidRPr="0094451D">
        <w:rPr>
          <w:rFonts w:ascii="Arial" w:eastAsia="Arial" w:hAnsi="Arial"/>
        </w:rPr>
        <w:t>rents data</w:t>
      </w:r>
      <w:r w:rsidR="00EB79F2">
        <w:rPr>
          <w:rFonts w:ascii="Arial" w:eastAsia="Arial" w:hAnsi="Arial"/>
        </w:rPr>
        <w:t>, or</w:t>
      </w:r>
    </w:p>
    <w:p w14:paraId="3FD269AC" w14:textId="4F8D218E" w:rsidR="002E33F1" w:rsidRPr="007903BE" w:rsidRDefault="0031036C" w:rsidP="00E438B3">
      <w:pPr>
        <w:pStyle w:val="ListParagraph"/>
        <w:numPr>
          <w:ilvl w:val="1"/>
          <w:numId w:val="15"/>
        </w:numPr>
        <w:spacing w:after="120" w:line="259" w:lineRule="auto"/>
        <w:ind w:left="1434" w:hanging="357"/>
        <w:contextualSpacing w:val="0"/>
        <w:rPr>
          <w:rFonts w:ascii="Arial" w:eastAsia="Arial" w:hAnsi="Arial"/>
          <w:color w:val="000000" w:themeColor="text1"/>
        </w:rPr>
      </w:pPr>
      <w:r>
        <w:rPr>
          <w:rFonts w:ascii="Arial" w:eastAsia="Arial" w:hAnsi="Arial"/>
        </w:rPr>
        <w:t>90</w:t>
      </w:r>
      <w:r w:rsidR="00445B6C" w:rsidRPr="0094451D">
        <w:rPr>
          <w:rFonts w:ascii="Arial" w:eastAsia="Arial" w:hAnsi="Arial"/>
        </w:rPr>
        <w:t>% of their historic TA spend data</w:t>
      </w:r>
      <w:r w:rsidR="007903BE">
        <w:rPr>
          <w:rFonts w:ascii="Arial" w:eastAsia="Arial" w:hAnsi="Arial"/>
        </w:rPr>
        <w:t xml:space="preserve">, or </w:t>
      </w:r>
    </w:p>
    <w:p w14:paraId="6AAE1B97" w14:textId="795F9F2A" w:rsidR="007903BE" w:rsidRPr="006517C3" w:rsidRDefault="007903BE" w:rsidP="00E438B3">
      <w:pPr>
        <w:pStyle w:val="ListParagraph"/>
        <w:numPr>
          <w:ilvl w:val="1"/>
          <w:numId w:val="15"/>
        </w:numPr>
        <w:spacing w:after="120" w:line="259" w:lineRule="auto"/>
        <w:ind w:left="1434" w:hanging="357"/>
        <w:contextualSpacing w:val="0"/>
        <w:rPr>
          <w:rFonts w:ascii="Arial" w:eastAsia="Arial" w:hAnsi="Arial"/>
          <w:color w:val="000000" w:themeColor="text1"/>
        </w:rPr>
      </w:pPr>
      <w:r>
        <w:rPr>
          <w:rFonts w:ascii="Arial" w:eastAsia="Arial" w:hAnsi="Arial"/>
        </w:rPr>
        <w:t>£40,000</w:t>
      </w:r>
    </w:p>
    <w:p w14:paraId="0B97E2FA" w14:textId="34DC126B" w:rsidR="009D04CB" w:rsidRPr="00E438B3" w:rsidRDefault="006517C3" w:rsidP="00E438B3">
      <w:pPr>
        <w:spacing w:after="240" w:line="259" w:lineRule="auto"/>
        <w:ind w:left="357"/>
        <w:rPr>
          <w:rFonts w:eastAsia="Arial"/>
          <w:color w:val="000000" w:themeColor="text1"/>
        </w:rPr>
      </w:pPr>
      <w:r>
        <w:rPr>
          <w:rFonts w:eastAsia="Arial"/>
          <w:color w:val="000000" w:themeColor="text1"/>
        </w:rPr>
        <w:t xml:space="preserve">whichever is </w:t>
      </w:r>
      <w:r w:rsidR="00FF5B30">
        <w:rPr>
          <w:rFonts w:eastAsia="Arial"/>
          <w:color w:val="000000" w:themeColor="text1"/>
        </w:rPr>
        <w:t xml:space="preserve">the </w:t>
      </w:r>
      <w:r w:rsidR="00E83220">
        <w:rPr>
          <w:rFonts w:eastAsia="Arial"/>
          <w:color w:val="000000" w:themeColor="text1"/>
        </w:rPr>
        <w:t>greatest</w:t>
      </w:r>
      <w:r>
        <w:rPr>
          <w:rFonts w:eastAsia="Arial"/>
          <w:color w:val="000000" w:themeColor="text1"/>
        </w:rPr>
        <w:t xml:space="preserve"> </w:t>
      </w:r>
      <w:r w:rsidR="00FF5B30">
        <w:rPr>
          <w:rFonts w:eastAsia="Arial"/>
          <w:color w:val="000000" w:themeColor="text1"/>
        </w:rPr>
        <w:t>in v</w:t>
      </w:r>
      <w:r>
        <w:rPr>
          <w:rFonts w:eastAsia="Arial"/>
          <w:color w:val="000000" w:themeColor="text1"/>
        </w:rPr>
        <w:t>alue.</w:t>
      </w:r>
    </w:p>
    <w:p w14:paraId="4C73B3D2" w14:textId="2B44DB25" w:rsidR="00445B6C" w:rsidRPr="00445B6C" w:rsidRDefault="00445B6C" w:rsidP="00445B6C">
      <w:pPr>
        <w:spacing w:after="120" w:line="259" w:lineRule="auto"/>
        <w:ind w:left="357"/>
        <w:rPr>
          <w:rFonts w:eastAsia="Arial"/>
          <w:i/>
          <w:iCs/>
          <w:color w:val="000000" w:themeColor="text1"/>
          <w:sz w:val="20"/>
          <w:szCs w:val="20"/>
          <w:u w:val="single"/>
        </w:rPr>
      </w:pPr>
      <w:r w:rsidRPr="00C00886">
        <w:rPr>
          <w:rFonts w:eastAsia="Arial"/>
          <w:i/>
          <w:iCs/>
          <w:color w:val="000000" w:themeColor="text1"/>
          <w:sz w:val="20"/>
          <w:szCs w:val="20"/>
          <w:u w:val="single"/>
        </w:rPr>
        <w:t>Figure 1.</w:t>
      </w:r>
      <w:r w:rsidR="00407E2C">
        <w:rPr>
          <w:rFonts w:eastAsia="Arial"/>
          <w:i/>
          <w:iCs/>
          <w:color w:val="000000" w:themeColor="text1"/>
          <w:sz w:val="20"/>
          <w:szCs w:val="20"/>
          <w:u w:val="single"/>
        </w:rPr>
        <w:t>5</w:t>
      </w:r>
      <w:r w:rsidRPr="00C00886">
        <w:rPr>
          <w:rFonts w:eastAsia="Arial"/>
          <w:i/>
          <w:iCs/>
          <w:color w:val="000000" w:themeColor="text1"/>
          <w:sz w:val="20"/>
          <w:szCs w:val="20"/>
          <w:u w:val="single"/>
        </w:rPr>
        <w:t xml:space="preserve">: Components of the proposed Option 1: </w:t>
      </w:r>
      <w:r w:rsidR="00980BE3">
        <w:rPr>
          <w:rFonts w:eastAsia="Arial"/>
          <w:i/>
          <w:iCs/>
          <w:color w:val="000000" w:themeColor="text1"/>
          <w:sz w:val="20"/>
          <w:szCs w:val="20"/>
          <w:u w:val="single"/>
        </w:rPr>
        <w:t>TAMF replacement with historic TA spend</w:t>
      </w:r>
    </w:p>
    <w:p w14:paraId="52582E65" w14:textId="1AE3DBE3" w:rsidR="00445B6C" w:rsidRDefault="00062841" w:rsidP="00445B6C">
      <w:pPr>
        <w:rPr>
          <w:rFonts w:eastAsia="Arial" w:cs="Arial"/>
          <w:color w:val="000000" w:themeColor="text1"/>
        </w:rPr>
      </w:pPr>
      <w:r>
        <w:rPr>
          <w:rFonts w:eastAsia="Arial" w:cs="Arial"/>
          <w:noProof/>
          <w:color w:val="000000" w:themeColor="text1"/>
        </w:rPr>
        <w:drawing>
          <wp:inline distT="0" distB="0" distL="0" distR="0" wp14:anchorId="501AAA93" wp14:editId="7F0E6DCB">
            <wp:extent cx="6410325" cy="3239254"/>
            <wp:effectExtent l="0" t="0" r="0" b="0"/>
            <wp:docPr id="39" name="Picture 39" descr="Pie Chart showing proposed Option 1 to replace TAMF in the formula. £110m is allocated using a combined estimate of prevention pressures (£47m HRA uplift and £63m HRG elements, now using uplift formula only). £200m is allocated in a similar way to the FHSG. £200m - adjusted FHSG formula: Number of case acceptances + Number of prevention and relief cases which ended with a Private Rented Sector tenancy (both using DLUHC financial year H-CLIC data). Applying the following adjustments: accounting for Private Sector rental costs in different areas, ensuring a minimum allocation level of £40,000, ensuring no authority recieves less than 90% of their 3-year average historic spend share on temporary accommodation costs (DLUHC local authority revenue expenditure and financing data - revenue outturn housing services RO4 - financial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Pie Chart showing proposed Option 1 to replace TAMF in the formula. £110m is allocated using a combined estimate of prevention pressures (£47m HRA uplift and £63m HRG elements, now using uplift formula only). £200m is allocated in a similar way to the FHSG. £200m - adjusted FHSG formula: Number of case acceptances + Number of prevention and relief cases which ended with a Private Rented Sector tenancy (both using DLUHC financial year H-CLIC data). Applying the following adjustments: accounting for Private Sector rental costs in different areas, ensuring a minimum allocation level of £40,000, ensuring no authority recieves less than 90% of their 3-year average historic spend share on temporary accommodation costs (DLUHC local authority revenue expenditure and financing data - revenue outturn housing services RO4 - financial yea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20149" cy="3244218"/>
                    </a:xfrm>
                    <a:prstGeom prst="rect">
                      <a:avLst/>
                    </a:prstGeom>
                    <a:noFill/>
                  </pic:spPr>
                </pic:pic>
              </a:graphicData>
            </a:graphic>
          </wp:inline>
        </w:drawing>
      </w:r>
    </w:p>
    <w:p w14:paraId="7F688E36" w14:textId="77777777" w:rsidR="00F20B02" w:rsidRDefault="00F20B02" w:rsidP="00445B6C">
      <w:pPr>
        <w:rPr>
          <w:rFonts w:eastAsia="Arial" w:cs="Arial"/>
          <w:color w:val="000000" w:themeColor="text1"/>
        </w:rPr>
      </w:pPr>
    </w:p>
    <w:p w14:paraId="6BFC01D5" w14:textId="0EC38F99" w:rsidR="00445B6C" w:rsidRPr="00E438B3" w:rsidRDefault="00445B6C" w:rsidP="00E438B3">
      <w:pPr>
        <w:spacing w:after="240"/>
        <w:rPr>
          <w:rFonts w:eastAsia="Arial" w:cs="Arial"/>
          <w:color w:val="000000" w:themeColor="text1"/>
          <w:u w:val="single"/>
        </w:rPr>
      </w:pPr>
      <w:r w:rsidRPr="00E438B3">
        <w:rPr>
          <w:rFonts w:eastAsia="Arial" w:cs="Arial"/>
          <w:color w:val="000000" w:themeColor="text1"/>
          <w:u w:val="single"/>
        </w:rPr>
        <w:t>Option 2:</w:t>
      </w:r>
    </w:p>
    <w:p w14:paraId="39499561" w14:textId="3D9AE223" w:rsidR="00445B6C" w:rsidRPr="00C00886" w:rsidRDefault="00445B6C" w:rsidP="00E438B3">
      <w:pPr>
        <w:pStyle w:val="ListParagraph"/>
        <w:numPr>
          <w:ilvl w:val="0"/>
          <w:numId w:val="15"/>
        </w:numPr>
        <w:spacing w:after="120" w:line="259" w:lineRule="auto"/>
        <w:ind w:left="714" w:hanging="357"/>
        <w:contextualSpacing w:val="0"/>
        <w:rPr>
          <w:rFonts w:ascii="Arial" w:eastAsia="Arial" w:hAnsi="Arial"/>
          <w:color w:val="000000" w:themeColor="text1"/>
        </w:rPr>
      </w:pPr>
      <w:r>
        <w:rPr>
          <w:rFonts w:ascii="Arial" w:hAnsi="Arial"/>
        </w:rPr>
        <w:t xml:space="preserve">Replace </w:t>
      </w:r>
      <w:r w:rsidRPr="00C00886">
        <w:rPr>
          <w:rFonts w:ascii="Arial" w:hAnsi="Arial"/>
        </w:rPr>
        <w:t>the TAMF with a population-weighted area cost adjustment (ACA)</w:t>
      </w:r>
      <w:r w:rsidRPr="00C00886">
        <w:rPr>
          <w:rStyle w:val="FootnoteReference"/>
          <w:rFonts w:ascii="Arial" w:hAnsi="Arial"/>
        </w:rPr>
        <w:footnoteReference w:id="7"/>
      </w:r>
      <w:r w:rsidRPr="00C00886">
        <w:rPr>
          <w:rFonts w:ascii="Arial" w:hAnsi="Arial"/>
        </w:rPr>
        <w:t>. The ACA is a tool used to measure the variation in the cost of delivering local government services for different local authorities in England.</w:t>
      </w:r>
    </w:p>
    <w:p w14:paraId="56F46D13" w14:textId="347DD060" w:rsidR="00445B6C" w:rsidRPr="00445B6C" w:rsidRDefault="00445B6C" w:rsidP="00E438B3">
      <w:pPr>
        <w:spacing w:after="120" w:line="259" w:lineRule="auto"/>
      </w:pPr>
      <w:r w:rsidRPr="00445B6C">
        <w:t xml:space="preserve">The FHSG element of the formula would still be calculated in the same way as before, but with a population-weighted ACA now replacing the TAMF. Local authorities </w:t>
      </w:r>
      <w:r w:rsidR="00D146F1">
        <w:t>would</w:t>
      </w:r>
      <w:r w:rsidR="00D146F1" w:rsidRPr="00445B6C">
        <w:t xml:space="preserve"> </w:t>
      </w:r>
      <w:r w:rsidRPr="00445B6C">
        <w:t xml:space="preserve">be allocated </w:t>
      </w:r>
      <w:r w:rsidR="00D146F1">
        <w:t>either</w:t>
      </w:r>
      <w:r w:rsidR="00F548B8">
        <w:t xml:space="preserve"> the greater of their share of</w:t>
      </w:r>
      <w:r w:rsidRPr="00445B6C">
        <w:t>:</w:t>
      </w:r>
    </w:p>
    <w:p w14:paraId="7A094CA3" w14:textId="18F37E7C" w:rsidR="00445B6C" w:rsidRPr="00676FAE" w:rsidRDefault="00F548B8" w:rsidP="00E438B3">
      <w:pPr>
        <w:pStyle w:val="ListParagraph"/>
        <w:numPr>
          <w:ilvl w:val="1"/>
          <w:numId w:val="15"/>
        </w:numPr>
        <w:spacing w:after="120" w:line="259" w:lineRule="auto"/>
        <w:ind w:left="1434" w:hanging="357"/>
        <w:contextualSpacing w:val="0"/>
        <w:rPr>
          <w:rFonts w:ascii="Arial" w:hAnsi="Arial"/>
        </w:rPr>
      </w:pPr>
      <w:r>
        <w:rPr>
          <w:rFonts w:ascii="Arial" w:hAnsi="Arial"/>
        </w:rPr>
        <w:t>The</w:t>
      </w:r>
      <w:r w:rsidR="00445B6C" w:rsidRPr="00676FAE">
        <w:rPr>
          <w:rFonts w:ascii="Arial" w:hAnsi="Arial"/>
        </w:rPr>
        <w:t xml:space="preserve"> sum of their homelessness acceptances, prevention into the PRS, relief into the PRS</w:t>
      </w:r>
      <w:r w:rsidR="005533AA">
        <w:rPr>
          <w:rFonts w:ascii="Arial" w:hAnsi="Arial"/>
        </w:rPr>
        <w:t>, accounting for PRS</w:t>
      </w:r>
      <w:r w:rsidR="00445B6C" w:rsidRPr="00676FAE">
        <w:rPr>
          <w:rFonts w:ascii="Arial" w:hAnsi="Arial"/>
        </w:rPr>
        <w:t xml:space="preserve"> rents dat</w:t>
      </w:r>
      <w:r w:rsidR="00A94412">
        <w:rPr>
          <w:rFonts w:ascii="Arial" w:hAnsi="Arial"/>
        </w:rPr>
        <w:t>a</w:t>
      </w:r>
      <w:r w:rsidR="008D07C0">
        <w:rPr>
          <w:rFonts w:ascii="Arial" w:hAnsi="Arial"/>
        </w:rPr>
        <w:t>, or</w:t>
      </w:r>
    </w:p>
    <w:p w14:paraId="372989CD" w14:textId="15A69638" w:rsidR="002E33F1" w:rsidRDefault="00D146F1" w:rsidP="00E438B3">
      <w:pPr>
        <w:pStyle w:val="ListParagraph"/>
        <w:numPr>
          <w:ilvl w:val="1"/>
          <w:numId w:val="15"/>
        </w:numPr>
        <w:spacing w:after="120" w:line="259" w:lineRule="auto"/>
        <w:ind w:left="1434" w:hanging="357"/>
        <w:contextualSpacing w:val="0"/>
        <w:rPr>
          <w:rFonts w:ascii="Arial" w:hAnsi="Arial"/>
        </w:rPr>
      </w:pPr>
      <w:r>
        <w:rPr>
          <w:rFonts w:ascii="Arial" w:hAnsi="Arial"/>
        </w:rPr>
        <w:t xml:space="preserve">A relative </w:t>
      </w:r>
      <w:r w:rsidR="00445B6C" w:rsidRPr="00676FAE">
        <w:rPr>
          <w:rFonts w:ascii="Arial" w:hAnsi="Arial"/>
        </w:rPr>
        <w:t xml:space="preserve">75% </w:t>
      </w:r>
      <w:r>
        <w:rPr>
          <w:rFonts w:ascii="Arial" w:hAnsi="Arial"/>
        </w:rPr>
        <w:t xml:space="preserve">share </w:t>
      </w:r>
      <w:r w:rsidR="00445B6C" w:rsidRPr="00676FAE">
        <w:rPr>
          <w:rFonts w:ascii="Arial" w:hAnsi="Arial"/>
        </w:rPr>
        <w:t>of their population-weighted ACA</w:t>
      </w:r>
      <w:r w:rsidR="00301CBA">
        <w:rPr>
          <w:rFonts w:ascii="Arial" w:hAnsi="Arial"/>
        </w:rPr>
        <w:t>, or</w:t>
      </w:r>
    </w:p>
    <w:p w14:paraId="7EA3CBB0" w14:textId="3887CB75" w:rsidR="00301CBA" w:rsidRDefault="00301CBA" w:rsidP="00E438B3">
      <w:pPr>
        <w:pStyle w:val="ListParagraph"/>
        <w:numPr>
          <w:ilvl w:val="1"/>
          <w:numId w:val="15"/>
        </w:numPr>
        <w:spacing w:after="120" w:line="259" w:lineRule="auto"/>
        <w:ind w:left="1434" w:hanging="357"/>
        <w:contextualSpacing w:val="0"/>
        <w:rPr>
          <w:rFonts w:ascii="Arial" w:hAnsi="Arial"/>
        </w:rPr>
      </w:pPr>
      <w:r>
        <w:rPr>
          <w:rFonts w:ascii="Arial" w:hAnsi="Arial"/>
        </w:rPr>
        <w:t>£40,000</w:t>
      </w:r>
    </w:p>
    <w:p w14:paraId="3E4087DB" w14:textId="4DD3885A" w:rsidR="00D146F1" w:rsidRPr="00D146F1" w:rsidRDefault="008D07C0" w:rsidP="008D07C0">
      <w:pPr>
        <w:spacing w:after="160" w:line="259" w:lineRule="auto"/>
      </w:pPr>
      <w:r>
        <w:t>whichever is the greatest in value.</w:t>
      </w:r>
    </w:p>
    <w:p w14:paraId="24B33232" w14:textId="6D3E9D6C" w:rsidR="00445B6C" w:rsidRDefault="00445B6C" w:rsidP="00445B6C">
      <w:pPr>
        <w:rPr>
          <w:rFonts w:eastAsia="Arial"/>
          <w:i/>
          <w:iCs/>
          <w:color w:val="000000" w:themeColor="text1"/>
          <w:sz w:val="20"/>
          <w:szCs w:val="20"/>
          <w:u w:val="single"/>
        </w:rPr>
      </w:pPr>
      <w:r w:rsidRPr="00445B6C">
        <w:rPr>
          <w:rFonts w:eastAsia="Arial"/>
          <w:i/>
          <w:iCs/>
          <w:noProof/>
          <w:color w:val="000000" w:themeColor="text1"/>
          <w:sz w:val="20"/>
          <w:szCs w:val="20"/>
          <w:u w:val="single"/>
        </w:rPr>
        <w:lastRenderedPageBreak/>
        <w:drawing>
          <wp:anchor distT="0" distB="0" distL="114300" distR="114300" simplePos="0" relativeHeight="251658253" behindDoc="0" locked="0" layoutInCell="1" allowOverlap="1" wp14:anchorId="4496BB01" wp14:editId="69530946">
            <wp:simplePos x="0" y="0"/>
            <wp:positionH relativeFrom="margin">
              <wp:posOffset>97790</wp:posOffset>
            </wp:positionH>
            <wp:positionV relativeFrom="paragraph">
              <wp:posOffset>266700</wp:posOffset>
            </wp:positionV>
            <wp:extent cx="6135370" cy="3199765"/>
            <wp:effectExtent l="0" t="0" r="0" b="635"/>
            <wp:wrapSquare wrapText="bothSides"/>
            <wp:docPr id="49" name="Picture 49" descr="Pie Chart showing proposed Option 2 to replace TAMF in the formula. £110m is allocated using a combined estimate of prevention pressures (£47m HRA uplift and £63m HRG elements, now using uplift formula only). £200m is allocated in a similar way to the FHSG. £200m - adjusted FHSG formula: Number of case acceptances + Number of prevention and relief cases which ended with a Private Rented Sector tenancy (both using DLUHC financial year H-CLIC data). Applying the following adjustments: accounting for Private Sector rental costs in different areas, ensuring a minimum allocation level of £40,000, ensuring no authority receives less than 75% of their relative area cost adjustment-weighted population share (DLUHC Area Cost Adjustment (ACA) and ONS Estimates of the population for the UK, England and Wales, Scotland and Northern Ireland - MYE4; Population estimates: Summary for the UK, mid-2001 to mid-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Pie Chart showing proposed Option 2 to replace TAMF in the formula. £110m is allocated using a combined estimate of prevention pressures (£47m HRA uplift and £63m HRG elements, now using uplift formula only). £200m is allocated in a similar way to the FHSG. £200m - adjusted FHSG formula: Number of case acceptances + Number of prevention and relief cases which ended with a Private Rented Sector tenancy (both using DLUHC financial year H-CLIC data). Applying the following adjustments: accounting for Private Sector rental costs in different areas, ensuring a minimum allocation level of £40,000, ensuring no authority receives less than 75% of their relative area cost adjustment-weighted population share (DLUHC Area Cost Adjustment (ACA) and ONS Estimates of the population for the UK, England and Wales, Scotland and Northern Ireland - MYE4; Population estimates: Summary for the UK, mid-2001 to mid-2020) "/>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6135370" cy="3199765"/>
                    </a:xfrm>
                    <a:prstGeom prst="rect">
                      <a:avLst/>
                    </a:prstGeom>
                    <a:noFill/>
                  </pic:spPr>
                </pic:pic>
              </a:graphicData>
            </a:graphic>
            <wp14:sizeRelH relativeFrom="margin">
              <wp14:pctWidth>0</wp14:pctWidth>
            </wp14:sizeRelH>
            <wp14:sizeRelV relativeFrom="margin">
              <wp14:pctHeight>0</wp14:pctHeight>
            </wp14:sizeRelV>
          </wp:anchor>
        </w:drawing>
      </w:r>
      <w:r w:rsidRPr="00445B6C">
        <w:rPr>
          <w:rFonts w:eastAsia="Arial"/>
          <w:i/>
          <w:iCs/>
          <w:color w:val="000000" w:themeColor="text1"/>
          <w:sz w:val="20"/>
          <w:szCs w:val="20"/>
          <w:u w:val="single"/>
        </w:rPr>
        <w:t>Figure 1.</w:t>
      </w:r>
      <w:r w:rsidR="00407E2C">
        <w:rPr>
          <w:rFonts w:eastAsia="Arial"/>
          <w:i/>
          <w:iCs/>
          <w:color w:val="000000" w:themeColor="text1"/>
          <w:sz w:val="20"/>
          <w:szCs w:val="20"/>
          <w:u w:val="single"/>
        </w:rPr>
        <w:t>6</w:t>
      </w:r>
      <w:r w:rsidRPr="00445B6C">
        <w:rPr>
          <w:rFonts w:eastAsia="Arial"/>
          <w:i/>
          <w:iCs/>
          <w:color w:val="000000" w:themeColor="text1"/>
          <w:sz w:val="20"/>
          <w:szCs w:val="20"/>
          <w:u w:val="single"/>
        </w:rPr>
        <w:t xml:space="preserve">: Components of the proposed Option 2: </w:t>
      </w:r>
      <w:r w:rsidR="00980BE3">
        <w:rPr>
          <w:rFonts w:eastAsia="Arial"/>
          <w:i/>
          <w:iCs/>
          <w:color w:val="000000" w:themeColor="text1"/>
          <w:sz w:val="20"/>
          <w:szCs w:val="20"/>
          <w:u w:val="single"/>
        </w:rPr>
        <w:t>TAMF replacement with population</w:t>
      </w:r>
      <w:r w:rsidR="001C78C1">
        <w:rPr>
          <w:rFonts w:eastAsia="Arial"/>
          <w:i/>
          <w:iCs/>
          <w:color w:val="000000" w:themeColor="text1"/>
          <w:sz w:val="20"/>
          <w:szCs w:val="20"/>
          <w:u w:val="single"/>
        </w:rPr>
        <w:t>-weighted ACA</w:t>
      </w:r>
    </w:p>
    <w:p w14:paraId="0999665C" w14:textId="05BAF169" w:rsidR="00445B6C" w:rsidRDefault="00445B6C" w:rsidP="00445B6C">
      <w:pPr>
        <w:rPr>
          <w:rFonts w:eastAsia="Arial"/>
          <w:i/>
          <w:iCs/>
          <w:color w:val="000000" w:themeColor="text1"/>
          <w:sz w:val="20"/>
          <w:szCs w:val="20"/>
          <w:u w:val="single"/>
        </w:rPr>
      </w:pPr>
    </w:p>
    <w:p w14:paraId="18663961" w14:textId="282B3D37" w:rsidR="001A4E90" w:rsidRPr="00816788" w:rsidRDefault="00370120" w:rsidP="00D81B55">
      <w:pPr>
        <w:spacing w:after="120"/>
        <w:rPr>
          <w:rFonts w:eastAsia="Arial" w:cs="Arial"/>
          <w:b/>
          <w:bCs/>
        </w:rPr>
      </w:pPr>
      <w:r w:rsidRPr="00816788">
        <w:rPr>
          <w:rFonts w:eastAsia="Arial" w:cs="Arial"/>
          <w:b/>
          <w:bCs/>
        </w:rPr>
        <w:t>Q</w:t>
      </w:r>
      <w:r w:rsidR="00303F3E" w:rsidRPr="00816788">
        <w:rPr>
          <w:rFonts w:eastAsia="Arial" w:cs="Arial"/>
          <w:b/>
          <w:bCs/>
        </w:rPr>
        <w:t>3</w:t>
      </w:r>
      <w:r w:rsidR="00445B6C" w:rsidRPr="00816788">
        <w:rPr>
          <w:rFonts w:eastAsia="Arial" w:cs="Arial"/>
          <w:b/>
          <w:bCs/>
        </w:rPr>
        <w:t>.</w:t>
      </w:r>
      <w:r w:rsidR="007D7B4A" w:rsidRPr="00816788">
        <w:rPr>
          <w:rFonts w:cs="Arial"/>
          <w:b/>
          <w:bCs/>
        </w:rPr>
        <w:t xml:space="preserve"> </w:t>
      </w:r>
      <w:r w:rsidR="007D7B4A" w:rsidRPr="00816788">
        <w:rPr>
          <w:rFonts w:cs="Arial"/>
          <w:b/>
          <w:bCs/>
          <w:shd w:val="clear" w:color="auto" w:fill="FFFFFF"/>
        </w:rPr>
        <w:t xml:space="preserve">Of the options presented to replace TAMF in the formula, which is your first preference? (Option 1 - Option 2 - Not sure </w:t>
      </w:r>
      <w:r w:rsidR="0009408B" w:rsidRPr="00816788">
        <w:rPr>
          <w:rFonts w:cs="Arial"/>
          <w:b/>
          <w:bCs/>
          <w:shd w:val="clear" w:color="auto" w:fill="FFFFFF"/>
        </w:rPr>
        <w:t>–</w:t>
      </w:r>
      <w:r w:rsidR="007D7B4A" w:rsidRPr="00816788">
        <w:rPr>
          <w:rFonts w:cs="Arial"/>
          <w:b/>
          <w:bCs/>
          <w:shd w:val="clear" w:color="auto" w:fill="FFFFFF"/>
        </w:rPr>
        <w:t xml:space="preserve"> </w:t>
      </w:r>
      <w:r w:rsidR="0009408B" w:rsidRPr="00816788">
        <w:rPr>
          <w:rFonts w:cs="Arial"/>
          <w:b/>
          <w:bCs/>
          <w:shd w:val="clear" w:color="auto" w:fill="FFFFFF"/>
        </w:rPr>
        <w:t xml:space="preserve">Indifferent - </w:t>
      </w:r>
      <w:r w:rsidR="007D7B4A" w:rsidRPr="00816788">
        <w:rPr>
          <w:rFonts w:cs="Arial"/>
          <w:b/>
          <w:bCs/>
          <w:shd w:val="clear" w:color="auto" w:fill="FFFFFF"/>
        </w:rPr>
        <w:t>Neither) Please explain why. (300 word limit)</w:t>
      </w:r>
    </w:p>
    <w:p w14:paraId="05D90E4B" w14:textId="0A704BC4" w:rsidR="00A455C2" w:rsidRPr="00F37114" w:rsidRDefault="007D7B4A" w:rsidP="00F37114">
      <w:pPr>
        <w:spacing w:after="240"/>
        <w:rPr>
          <w:rFonts w:cs="Arial"/>
          <w:b/>
          <w:bCs/>
          <w:u w:val="single"/>
        </w:rPr>
      </w:pPr>
      <w:r w:rsidRPr="00816788">
        <w:rPr>
          <w:rFonts w:cs="Arial"/>
          <w:b/>
          <w:bCs/>
          <w:shd w:val="clear" w:color="auto" w:fill="FFFFFF"/>
        </w:rPr>
        <w:t>Q</w:t>
      </w:r>
      <w:r w:rsidR="00303F3E" w:rsidRPr="00816788">
        <w:rPr>
          <w:rFonts w:cs="Arial"/>
          <w:b/>
          <w:bCs/>
          <w:shd w:val="clear" w:color="auto" w:fill="FFFFFF"/>
        </w:rPr>
        <w:t>4</w:t>
      </w:r>
      <w:r w:rsidRPr="00816788">
        <w:rPr>
          <w:rFonts w:cs="Arial"/>
          <w:b/>
          <w:bCs/>
          <w:shd w:val="clear" w:color="auto" w:fill="FFFFFF"/>
        </w:rPr>
        <w:t>. Are there other indicators of TA pressures you recommend we consider? (300 word limit) Please explain why. (300 word limit)</w:t>
      </w:r>
    </w:p>
    <w:p w14:paraId="0E24EAAB" w14:textId="078DDCCB" w:rsidR="00717354" w:rsidRPr="003B17AA" w:rsidRDefault="0069648B" w:rsidP="003B17AA">
      <w:pPr>
        <w:spacing w:after="120"/>
        <w:rPr>
          <w:rFonts w:cs="Arial"/>
          <w:b/>
          <w:bCs/>
          <w:sz w:val="26"/>
          <w:szCs w:val="26"/>
        </w:rPr>
      </w:pPr>
      <w:r w:rsidRPr="003B17AA">
        <w:rPr>
          <w:rFonts w:cs="Arial"/>
          <w:b/>
          <w:bCs/>
          <w:sz w:val="26"/>
          <w:szCs w:val="26"/>
        </w:rPr>
        <w:t>Missing Data</w:t>
      </w:r>
    </w:p>
    <w:p w14:paraId="77FE3860" w14:textId="48239338" w:rsidR="0069648B" w:rsidRPr="00445B6C" w:rsidRDefault="163143E5" w:rsidP="00A455C2">
      <w:pPr>
        <w:pStyle w:val="ListParagraph"/>
        <w:numPr>
          <w:ilvl w:val="1"/>
          <w:numId w:val="11"/>
        </w:numPr>
        <w:spacing w:after="120" w:line="259" w:lineRule="auto"/>
        <w:contextualSpacing w:val="0"/>
        <w:rPr>
          <w:rFonts w:ascii="Arial" w:hAnsi="Arial"/>
        </w:rPr>
      </w:pPr>
      <w:r w:rsidRPr="57D2B8DC">
        <w:rPr>
          <w:rFonts w:ascii="Arial" w:hAnsi="Arial"/>
        </w:rPr>
        <w:t>The</w:t>
      </w:r>
      <w:r w:rsidR="00B8716C" w:rsidRPr="00445B6C">
        <w:rPr>
          <w:rFonts w:ascii="Arial" w:hAnsi="Arial"/>
        </w:rPr>
        <w:t xml:space="preserve"> </w:t>
      </w:r>
      <w:r w:rsidR="0069648B" w:rsidRPr="00445B6C">
        <w:rPr>
          <w:rFonts w:ascii="Arial" w:hAnsi="Arial"/>
        </w:rPr>
        <w:t xml:space="preserve">H-CLIC data </w:t>
      </w:r>
      <w:r w:rsidR="00B8716C" w:rsidRPr="00445B6C">
        <w:rPr>
          <w:rFonts w:ascii="Arial" w:hAnsi="Arial"/>
        </w:rPr>
        <w:t xml:space="preserve">needed to run the formula </w:t>
      </w:r>
      <w:r w:rsidR="0069648B" w:rsidRPr="00445B6C">
        <w:rPr>
          <w:rFonts w:ascii="Arial" w:hAnsi="Arial"/>
        </w:rPr>
        <w:t xml:space="preserve">is not </w:t>
      </w:r>
      <w:r w:rsidR="7DDCDD95" w:rsidRPr="57D2B8DC">
        <w:rPr>
          <w:rFonts w:ascii="Arial" w:hAnsi="Arial"/>
        </w:rPr>
        <w:t xml:space="preserve">always </w:t>
      </w:r>
      <w:r w:rsidR="0069648B" w:rsidRPr="00445B6C">
        <w:rPr>
          <w:rFonts w:ascii="Arial" w:hAnsi="Arial"/>
        </w:rPr>
        <w:t>available</w:t>
      </w:r>
      <w:r w:rsidR="00B8716C" w:rsidRPr="00445B6C">
        <w:rPr>
          <w:rFonts w:ascii="Arial" w:hAnsi="Arial"/>
        </w:rPr>
        <w:t xml:space="preserve">. This can be the case where </w:t>
      </w:r>
      <w:r w:rsidR="0069648B" w:rsidRPr="00445B6C">
        <w:rPr>
          <w:rFonts w:ascii="Arial" w:hAnsi="Arial"/>
        </w:rPr>
        <w:t>accurate data for all four quarters in a given year was not provided.</w:t>
      </w:r>
    </w:p>
    <w:p w14:paraId="1F08C80D" w14:textId="77777777" w:rsidR="00445B6C" w:rsidRPr="00445B6C" w:rsidRDefault="0069648B" w:rsidP="00A455C2">
      <w:pPr>
        <w:pStyle w:val="ListParagraph"/>
        <w:numPr>
          <w:ilvl w:val="1"/>
          <w:numId w:val="11"/>
        </w:numPr>
        <w:spacing w:after="120" w:line="259" w:lineRule="auto"/>
        <w:contextualSpacing w:val="0"/>
        <w:rPr>
          <w:rFonts w:ascii="Arial" w:hAnsi="Arial"/>
        </w:rPr>
      </w:pPr>
      <w:r w:rsidRPr="00445B6C">
        <w:rPr>
          <w:rFonts w:ascii="Arial" w:hAnsi="Arial"/>
        </w:rPr>
        <w:t>Where accurate data was not provided, local authority-level estimates are calculated by apportioning published regional figures. Using the total figures for London and the Rest of England, we calculate the amount of data within a given dataset that is attributable to local authorities with missing data. We do this by subtracting the sum of data provided by local authorities from the total figure.</w:t>
      </w:r>
    </w:p>
    <w:p w14:paraId="1D5FB4E8" w14:textId="45954A69" w:rsidR="0069648B" w:rsidRPr="00445B6C" w:rsidRDefault="0069648B" w:rsidP="00A455C2">
      <w:pPr>
        <w:pStyle w:val="ListParagraph"/>
        <w:numPr>
          <w:ilvl w:val="1"/>
          <w:numId w:val="11"/>
        </w:numPr>
        <w:spacing w:after="120" w:line="259" w:lineRule="auto"/>
        <w:contextualSpacing w:val="0"/>
        <w:rPr>
          <w:rFonts w:ascii="Arial" w:hAnsi="Arial"/>
        </w:rPr>
      </w:pPr>
      <w:r w:rsidRPr="00445B6C">
        <w:rPr>
          <w:rFonts w:ascii="Arial" w:hAnsi="Arial"/>
        </w:rPr>
        <w:t>To distribute the remaining data to local authorities with missing data, we propose two options:</w:t>
      </w:r>
    </w:p>
    <w:p w14:paraId="755EFBC0" w14:textId="4B86F919" w:rsidR="002E33F1" w:rsidRPr="00D9131E" w:rsidRDefault="002E33F1" w:rsidP="00A455C2">
      <w:pPr>
        <w:spacing w:after="120"/>
        <w:rPr>
          <w:rFonts w:cs="Arial"/>
          <w:u w:val="single"/>
        </w:rPr>
      </w:pPr>
      <w:r w:rsidRPr="00D9131E">
        <w:rPr>
          <w:rFonts w:cs="Arial"/>
          <w:u w:val="single"/>
        </w:rPr>
        <w:t>Option 1</w:t>
      </w:r>
      <w:r w:rsidRPr="00D9131E">
        <w:rPr>
          <w:rFonts w:cs="Arial"/>
          <w:b/>
          <w:bCs/>
          <w:u w:val="single"/>
        </w:rPr>
        <w:t>:</w:t>
      </w:r>
    </w:p>
    <w:p w14:paraId="1684A7E2" w14:textId="77777777" w:rsidR="00445B6C" w:rsidRPr="00445B6C" w:rsidRDefault="002E33F1" w:rsidP="00A455C2">
      <w:pPr>
        <w:pStyle w:val="ListParagraph"/>
        <w:numPr>
          <w:ilvl w:val="0"/>
          <w:numId w:val="35"/>
        </w:numPr>
        <w:spacing w:after="120" w:line="259" w:lineRule="auto"/>
        <w:ind w:left="714" w:hanging="357"/>
        <w:contextualSpacing w:val="0"/>
        <w:rPr>
          <w:rFonts w:ascii="Arial" w:hAnsi="Arial"/>
        </w:rPr>
      </w:pPr>
      <w:r w:rsidRPr="00445B6C">
        <w:rPr>
          <w:rFonts w:ascii="Arial" w:hAnsi="Arial"/>
        </w:rPr>
        <w:t>Distribute the data to local authorities with missing data using their percentage share of a three-year average of historic TA spend</w:t>
      </w:r>
      <w:r w:rsidR="00445B6C" w:rsidRPr="00445B6C">
        <w:rPr>
          <w:rFonts w:ascii="Arial" w:hAnsi="Arial"/>
        </w:rPr>
        <w:t>.</w:t>
      </w:r>
    </w:p>
    <w:p w14:paraId="28A8806C" w14:textId="77777777" w:rsidR="005757CC" w:rsidRDefault="002E33F1" w:rsidP="003508CA">
      <w:pPr>
        <w:pStyle w:val="ListParagraph"/>
        <w:numPr>
          <w:ilvl w:val="0"/>
          <w:numId w:val="35"/>
        </w:numPr>
        <w:spacing w:after="120" w:line="259" w:lineRule="auto"/>
        <w:ind w:left="714" w:hanging="357"/>
        <w:contextualSpacing w:val="0"/>
        <w:rPr>
          <w:rFonts w:ascii="Arial" w:hAnsi="Arial"/>
        </w:rPr>
      </w:pPr>
      <w:r w:rsidRPr="00445B6C">
        <w:rPr>
          <w:rFonts w:ascii="Arial" w:hAnsi="Arial"/>
        </w:rPr>
        <w:t>If historic TA spend is not available for a given local authority, instead calculate their share using a population-weighted ACA.</w:t>
      </w:r>
    </w:p>
    <w:p w14:paraId="491C7491" w14:textId="34F4A69C" w:rsidR="00445B6C" w:rsidRPr="005757CC" w:rsidRDefault="002E33F1" w:rsidP="003508CA">
      <w:pPr>
        <w:pStyle w:val="ListParagraph"/>
        <w:numPr>
          <w:ilvl w:val="0"/>
          <w:numId w:val="35"/>
        </w:numPr>
        <w:spacing w:after="120" w:line="259" w:lineRule="auto"/>
        <w:ind w:left="714" w:hanging="357"/>
        <w:contextualSpacing w:val="0"/>
        <w:rPr>
          <w:rFonts w:ascii="Arial" w:hAnsi="Arial"/>
        </w:rPr>
      </w:pPr>
      <w:r w:rsidRPr="005757CC">
        <w:rPr>
          <w:rFonts w:ascii="Arial" w:hAnsi="Arial"/>
        </w:rPr>
        <w:t xml:space="preserve">The data is then distributed using either of these shares, and is adjusted using a missing data multiplier of 0.75 (this ensures local authorities cannot gain by not providing data). For example, </w:t>
      </w:r>
      <w:r w:rsidR="003716E6" w:rsidRPr="005757CC">
        <w:rPr>
          <w:rFonts w:ascii="Arial" w:hAnsi="Arial"/>
        </w:rPr>
        <w:t xml:space="preserve">if there were 4000 units of missing data to be </w:t>
      </w:r>
      <w:r w:rsidR="003716E6" w:rsidRPr="005757CC">
        <w:rPr>
          <w:rFonts w:ascii="Arial" w:hAnsi="Arial"/>
        </w:rPr>
        <w:lastRenderedPageBreak/>
        <w:t>allocated and a local authority had a share of 10%, they would be allocated 300 units (= 4000 * 0.1 * 0.75).</w:t>
      </w:r>
    </w:p>
    <w:p w14:paraId="3C63BE99" w14:textId="77777777" w:rsidR="00A64FB9" w:rsidRPr="00D9131E" w:rsidRDefault="00A64FB9" w:rsidP="00A455C2">
      <w:pPr>
        <w:spacing w:after="120"/>
        <w:rPr>
          <w:rFonts w:cs="Arial"/>
          <w:u w:val="single"/>
        </w:rPr>
      </w:pPr>
      <w:r w:rsidRPr="00D9131E">
        <w:rPr>
          <w:rFonts w:cs="Arial"/>
          <w:u w:val="single"/>
        </w:rPr>
        <w:t>Option 2:</w:t>
      </w:r>
    </w:p>
    <w:p w14:paraId="5993CE9E" w14:textId="77777777" w:rsidR="00A64FB9" w:rsidRPr="00676FAE" w:rsidRDefault="00A64FB9" w:rsidP="00A455C2">
      <w:pPr>
        <w:pStyle w:val="ListParagraph"/>
        <w:numPr>
          <w:ilvl w:val="0"/>
          <w:numId w:val="32"/>
        </w:numPr>
        <w:spacing w:after="120" w:line="259" w:lineRule="auto"/>
        <w:contextualSpacing w:val="0"/>
        <w:rPr>
          <w:rFonts w:ascii="Arial" w:hAnsi="Arial"/>
        </w:rPr>
      </w:pPr>
      <w:r w:rsidRPr="00676FAE">
        <w:rPr>
          <w:rFonts w:ascii="Arial" w:hAnsi="Arial"/>
        </w:rPr>
        <w:t>Allocate the data to local authorities with missing data using their percentage share of population weighted area cost adjustment (ACA). A population weighted ACA is available for all local authorities, so a share would be able to be produced for any local authority with missing data under this method.</w:t>
      </w:r>
    </w:p>
    <w:p w14:paraId="102194EB" w14:textId="12E80979" w:rsidR="00445B6C" w:rsidRPr="00F37114" w:rsidRDefault="00A64FB9" w:rsidP="00F37114">
      <w:pPr>
        <w:pStyle w:val="ListParagraph"/>
        <w:numPr>
          <w:ilvl w:val="0"/>
          <w:numId w:val="32"/>
        </w:numPr>
        <w:spacing w:after="240" w:line="259" w:lineRule="auto"/>
        <w:contextualSpacing w:val="0"/>
        <w:rPr>
          <w:rFonts w:ascii="Arial" w:hAnsi="Arial"/>
        </w:rPr>
      </w:pPr>
      <w:r w:rsidRPr="00676FAE">
        <w:rPr>
          <w:rFonts w:ascii="Arial" w:hAnsi="Arial"/>
        </w:rPr>
        <w:t xml:space="preserve">The data is then distributed using these shares, and is adjusted using a missing data multiplier of 0.75 (this ensures local authorities cannot gain by not providing data). </w:t>
      </w:r>
      <w:r w:rsidR="00FF74E1" w:rsidRPr="00545F38">
        <w:rPr>
          <w:rFonts w:ascii="Arial" w:hAnsi="Arial"/>
        </w:rPr>
        <w:t>For example, if there were 4000 units of missing data to be allocated and a local authority had a share of 10</w:t>
      </w:r>
      <w:r w:rsidR="00FF74E1" w:rsidRPr="62BAD772">
        <w:rPr>
          <w:rFonts w:ascii="Arial" w:hAnsi="Arial"/>
        </w:rPr>
        <w:t>%, they</w:t>
      </w:r>
      <w:r w:rsidR="00FF74E1" w:rsidRPr="00545F38">
        <w:rPr>
          <w:rFonts w:ascii="Arial" w:hAnsi="Arial"/>
        </w:rPr>
        <w:t xml:space="preserve"> would be allocated 300 units (= 4000 * 0.1 * 0.75).</w:t>
      </w:r>
    </w:p>
    <w:p w14:paraId="19F40E1E" w14:textId="6D174E9B" w:rsidR="00445B6C" w:rsidRPr="00407E2C" w:rsidRDefault="00445B6C" w:rsidP="00407E2C">
      <w:pPr>
        <w:spacing w:after="120" w:line="259" w:lineRule="auto"/>
        <w:rPr>
          <w:rFonts w:eastAsia="Arial"/>
        </w:rPr>
      </w:pPr>
      <w:r w:rsidRPr="00C00886">
        <w:rPr>
          <w:noProof/>
        </w:rPr>
        <w:drawing>
          <wp:anchor distT="0" distB="0" distL="114300" distR="114300" simplePos="0" relativeHeight="251658255" behindDoc="0" locked="0" layoutInCell="1" allowOverlap="1" wp14:anchorId="022AF4FA" wp14:editId="4EB79D90">
            <wp:simplePos x="0" y="0"/>
            <wp:positionH relativeFrom="margin">
              <wp:align>left</wp:align>
            </wp:positionH>
            <wp:positionV relativeFrom="paragraph">
              <wp:posOffset>175895</wp:posOffset>
            </wp:positionV>
            <wp:extent cx="6042660" cy="3206115"/>
            <wp:effectExtent l="0" t="0" r="0" b="0"/>
            <wp:wrapSquare wrapText="bothSides"/>
            <wp:docPr id="102" name="Picture 102" descr="Box 1: Identify local authorities with missing data (split by London and the rest of england). Box 2: Calculate the amount of data attributable to local authorities with missing data by subtracting the sum of data provided by local authorities from the London/ Rest of England total. Option 1: HCLIC data, then 0.75 * Share of historic TA spend * Unattributed data, then 0.75 Share of population weighted ACA * Unattributed data. Option 2: HCLIC data, then 0.75 * share of population weighted ACA * Unattribut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Box 1: Identify local authorities with missing data (split by London and the rest of england). Box 2: Calculate the amount of data attributable to local authorities with missing data by subtracting the sum of data provided by local authorities from the London/ Rest of England total. Option 1: HCLIC data, then 0.75 * Share of historic TA spend * Unattributed data, then 0.75 Share of population weighted ACA * Unattributed data. Option 2: HCLIC data, then 0.75 * share of population weighted ACA * Unattributed data"/>
                    <pic:cNvPicPr>
                      <a:picLocks noChangeAspect="1" noChangeArrowheads="1"/>
                    </pic:cNvPicPr>
                  </pic:nvPicPr>
                  <pic:blipFill rotWithShape="1">
                    <a:blip r:embed="rId20">
                      <a:extLst>
                        <a:ext uri="{28A0092B-C50C-407E-A947-70E740481C1C}">
                          <a14:useLocalDpi xmlns:a14="http://schemas.microsoft.com/office/drawing/2010/main" val="0"/>
                        </a:ext>
                      </a:extLst>
                    </a:blip>
                    <a:srcRect t="9175"/>
                    <a:stretch/>
                  </pic:blipFill>
                  <pic:spPr bwMode="auto">
                    <a:xfrm>
                      <a:off x="0" y="0"/>
                      <a:ext cx="6042660" cy="32061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07E2C">
        <w:rPr>
          <w:rFonts w:eastAsia="Arial"/>
          <w:i/>
          <w:iCs/>
          <w:color w:val="000000" w:themeColor="text1"/>
          <w:sz w:val="20"/>
          <w:szCs w:val="20"/>
          <w:u w:val="single"/>
        </w:rPr>
        <w:t>Figure 1.</w:t>
      </w:r>
      <w:r w:rsidR="00407E2C">
        <w:rPr>
          <w:rFonts w:eastAsia="Arial"/>
          <w:i/>
          <w:iCs/>
          <w:color w:val="000000" w:themeColor="text1"/>
          <w:sz w:val="20"/>
          <w:szCs w:val="20"/>
          <w:u w:val="single"/>
        </w:rPr>
        <w:t>7</w:t>
      </w:r>
      <w:r w:rsidRPr="00407E2C">
        <w:rPr>
          <w:rFonts w:eastAsia="Arial"/>
          <w:i/>
          <w:iCs/>
          <w:color w:val="000000" w:themeColor="text1"/>
          <w:sz w:val="20"/>
          <w:szCs w:val="20"/>
          <w:u w:val="single"/>
        </w:rPr>
        <w:t xml:space="preserve">: Summary of our proposed </w:t>
      </w:r>
      <w:r w:rsidR="00A43EE2" w:rsidRPr="00407E2C">
        <w:rPr>
          <w:rFonts w:eastAsia="Arial"/>
          <w:i/>
          <w:iCs/>
          <w:color w:val="000000" w:themeColor="text1"/>
          <w:sz w:val="20"/>
          <w:szCs w:val="20"/>
          <w:u w:val="single"/>
        </w:rPr>
        <w:t>options</w:t>
      </w:r>
      <w:r w:rsidRPr="00407E2C">
        <w:rPr>
          <w:rFonts w:eastAsia="Arial"/>
          <w:i/>
          <w:iCs/>
          <w:color w:val="000000" w:themeColor="text1"/>
          <w:sz w:val="20"/>
          <w:szCs w:val="20"/>
          <w:u w:val="single"/>
        </w:rPr>
        <w:t xml:space="preserve"> to account for missing data</w:t>
      </w:r>
    </w:p>
    <w:p w14:paraId="3B6A2BFE" w14:textId="77777777" w:rsidR="00A455C2" w:rsidRDefault="00A455C2" w:rsidP="007C1C78">
      <w:pPr>
        <w:pStyle w:val="CommentText"/>
        <w:spacing w:after="240"/>
        <w:rPr>
          <w:b/>
          <w:bCs/>
          <w:sz w:val="24"/>
          <w:szCs w:val="24"/>
        </w:rPr>
      </w:pPr>
    </w:p>
    <w:p w14:paraId="1C79A8B8" w14:textId="0506A350" w:rsidR="00A455C2" w:rsidRPr="00F37114" w:rsidRDefault="007D7B4A" w:rsidP="00F37114">
      <w:pPr>
        <w:pStyle w:val="CommentText"/>
        <w:spacing w:after="240"/>
        <w:rPr>
          <w:rFonts w:cs="Arial"/>
          <w:b/>
          <w:bCs/>
          <w:sz w:val="24"/>
          <w:szCs w:val="24"/>
        </w:rPr>
      </w:pPr>
      <w:r w:rsidRPr="006855CC">
        <w:rPr>
          <w:rFonts w:cs="Arial"/>
          <w:b/>
          <w:bCs/>
          <w:sz w:val="24"/>
          <w:szCs w:val="24"/>
          <w:shd w:val="clear" w:color="auto" w:fill="FFFFFF"/>
        </w:rPr>
        <w:t>Q</w:t>
      </w:r>
      <w:r w:rsidR="00303F3E" w:rsidRPr="006855CC">
        <w:rPr>
          <w:rFonts w:cs="Arial"/>
          <w:b/>
          <w:bCs/>
          <w:sz w:val="24"/>
          <w:szCs w:val="24"/>
          <w:shd w:val="clear" w:color="auto" w:fill="FFFFFF"/>
        </w:rPr>
        <w:t>5</w:t>
      </w:r>
      <w:r w:rsidRPr="006855CC">
        <w:rPr>
          <w:rFonts w:cs="Arial"/>
          <w:b/>
          <w:bCs/>
          <w:sz w:val="24"/>
          <w:szCs w:val="24"/>
          <w:shd w:val="clear" w:color="auto" w:fill="FFFFFF"/>
        </w:rPr>
        <w:t xml:space="preserve">. Of our proposed options in relation to missing data, which is your first preference? (Option 1 – Option 2 – Not sure </w:t>
      </w:r>
      <w:r w:rsidR="00424DA3" w:rsidRPr="006855CC">
        <w:rPr>
          <w:rFonts w:cs="Arial"/>
          <w:b/>
          <w:bCs/>
          <w:sz w:val="24"/>
          <w:szCs w:val="24"/>
          <w:shd w:val="clear" w:color="auto" w:fill="FFFFFF"/>
        </w:rPr>
        <w:t>–</w:t>
      </w:r>
      <w:r w:rsidRPr="006855CC">
        <w:rPr>
          <w:rFonts w:cs="Arial"/>
          <w:b/>
          <w:bCs/>
          <w:sz w:val="24"/>
          <w:szCs w:val="24"/>
          <w:shd w:val="clear" w:color="auto" w:fill="FFFFFF"/>
        </w:rPr>
        <w:t xml:space="preserve"> </w:t>
      </w:r>
      <w:r w:rsidR="00424DA3" w:rsidRPr="006855CC">
        <w:rPr>
          <w:rFonts w:cs="Arial"/>
          <w:b/>
          <w:bCs/>
          <w:sz w:val="24"/>
          <w:szCs w:val="24"/>
          <w:shd w:val="clear" w:color="auto" w:fill="FFFFFF"/>
        </w:rPr>
        <w:t xml:space="preserve">Indifferent - </w:t>
      </w:r>
      <w:r w:rsidRPr="006855CC">
        <w:rPr>
          <w:rFonts w:cs="Arial"/>
          <w:b/>
          <w:bCs/>
          <w:sz w:val="24"/>
          <w:szCs w:val="24"/>
          <w:shd w:val="clear" w:color="auto" w:fill="FFFFFF"/>
        </w:rPr>
        <w:t>Neither) Please explain why. (300 word limit)</w:t>
      </w:r>
    </w:p>
    <w:p w14:paraId="074D3D1A" w14:textId="6A666A7E" w:rsidR="000B4DF4" w:rsidRDefault="000B4DF4" w:rsidP="00E31379">
      <w:pPr>
        <w:pStyle w:val="CommentText"/>
        <w:spacing w:after="120"/>
        <w:rPr>
          <w:rFonts w:eastAsia="Arial" w:cs="Arial"/>
          <w:b/>
          <w:bCs/>
          <w:sz w:val="26"/>
          <w:szCs w:val="26"/>
        </w:rPr>
      </w:pPr>
      <w:r>
        <w:rPr>
          <w:rFonts w:eastAsia="Arial" w:cs="Arial"/>
          <w:b/>
          <w:bCs/>
          <w:sz w:val="26"/>
          <w:szCs w:val="26"/>
        </w:rPr>
        <w:t xml:space="preserve">The </w:t>
      </w:r>
      <w:r w:rsidR="006F2849">
        <w:rPr>
          <w:rFonts w:eastAsia="Arial" w:cs="Arial"/>
          <w:b/>
          <w:bCs/>
          <w:sz w:val="26"/>
          <w:szCs w:val="26"/>
        </w:rPr>
        <w:t>other data sources used in the</w:t>
      </w:r>
      <w:r>
        <w:rPr>
          <w:rFonts w:eastAsia="Arial" w:cs="Arial"/>
          <w:b/>
          <w:bCs/>
          <w:sz w:val="26"/>
          <w:szCs w:val="26"/>
        </w:rPr>
        <w:t xml:space="preserve"> FHSG element (£200m)</w:t>
      </w:r>
    </w:p>
    <w:p w14:paraId="174312A8" w14:textId="195A283F" w:rsidR="00AC20BD" w:rsidRPr="00AC20BD" w:rsidRDefault="000E4644" w:rsidP="00B927F9">
      <w:pPr>
        <w:pStyle w:val="ListParagraph"/>
        <w:numPr>
          <w:ilvl w:val="1"/>
          <w:numId w:val="11"/>
        </w:numPr>
        <w:spacing w:after="120" w:line="259" w:lineRule="auto"/>
        <w:contextualSpacing w:val="0"/>
        <w:rPr>
          <w:rFonts w:ascii="Arial" w:eastAsia="Arial" w:hAnsi="Arial"/>
          <w:color w:val="000000" w:themeColor="text1"/>
        </w:rPr>
      </w:pPr>
      <w:r>
        <w:rPr>
          <w:rFonts w:ascii="Arial" w:eastAsia="Arial" w:hAnsi="Arial"/>
          <w:color w:val="000000" w:themeColor="text1"/>
        </w:rPr>
        <w:t xml:space="preserve">As outlined in figure </w:t>
      </w:r>
      <w:r w:rsidR="006865E2">
        <w:rPr>
          <w:rFonts w:ascii="Arial" w:eastAsia="Arial" w:hAnsi="Arial"/>
          <w:color w:val="000000" w:themeColor="text1"/>
        </w:rPr>
        <w:t>1.3</w:t>
      </w:r>
      <w:r>
        <w:rPr>
          <w:rFonts w:ascii="Arial" w:eastAsia="Arial" w:hAnsi="Arial"/>
          <w:color w:val="000000" w:themeColor="text1"/>
        </w:rPr>
        <w:t xml:space="preserve">, </w:t>
      </w:r>
      <w:r w:rsidR="69E8DEBC" w:rsidRPr="69E8DEBC">
        <w:rPr>
          <w:rFonts w:ascii="Arial" w:eastAsia="Arial" w:hAnsi="Arial"/>
          <w:color w:val="000000" w:themeColor="text1"/>
        </w:rPr>
        <w:t>prior to adjustments, the FHSG element</w:t>
      </w:r>
      <w:r>
        <w:rPr>
          <w:rFonts w:ascii="Arial" w:eastAsia="Arial" w:hAnsi="Arial"/>
          <w:color w:val="000000" w:themeColor="text1"/>
        </w:rPr>
        <w:t xml:space="preserve"> of the formula </w:t>
      </w:r>
      <w:r w:rsidR="00363F3D" w:rsidRPr="00363F3D">
        <w:rPr>
          <w:rFonts w:ascii="Arial" w:eastAsia="Arial" w:hAnsi="Arial"/>
          <w:color w:val="000000" w:themeColor="text1"/>
        </w:rPr>
        <w:t xml:space="preserve">currently </w:t>
      </w:r>
      <w:r w:rsidR="00363F3D">
        <w:rPr>
          <w:rFonts w:ascii="Arial" w:eastAsia="Arial" w:hAnsi="Arial"/>
          <w:color w:val="000000" w:themeColor="text1"/>
        </w:rPr>
        <w:t>calculates pressures using</w:t>
      </w:r>
      <w:r w:rsidR="00AC20BD">
        <w:rPr>
          <w:rFonts w:ascii="Arial" w:eastAsia="Arial" w:hAnsi="Arial"/>
          <w:color w:val="000000" w:themeColor="text1"/>
        </w:rPr>
        <w:t xml:space="preserve">: </w:t>
      </w:r>
    </w:p>
    <w:p w14:paraId="4FE53258" w14:textId="66D98CC9" w:rsidR="000E4644" w:rsidRDefault="00142B35" w:rsidP="00F37114">
      <w:pPr>
        <w:pStyle w:val="ListParagraph"/>
        <w:numPr>
          <w:ilvl w:val="0"/>
          <w:numId w:val="36"/>
        </w:numPr>
        <w:spacing w:after="120" w:line="259" w:lineRule="auto"/>
        <w:ind w:left="1434" w:hanging="357"/>
        <w:contextualSpacing w:val="0"/>
        <w:rPr>
          <w:rFonts w:ascii="Arial" w:hAnsi="Arial"/>
        </w:rPr>
      </w:pPr>
      <w:r>
        <w:rPr>
          <w:rFonts w:ascii="Arial" w:eastAsia="Arial" w:hAnsi="Arial"/>
          <w:color w:val="000000" w:themeColor="text1"/>
        </w:rPr>
        <w:t>H</w:t>
      </w:r>
      <w:r w:rsidR="00363F3D" w:rsidRPr="00363F3D">
        <w:rPr>
          <w:rFonts w:ascii="Arial" w:hAnsi="Arial"/>
        </w:rPr>
        <w:t>omelessness</w:t>
      </w:r>
      <w:r w:rsidR="000E4644">
        <w:rPr>
          <w:rFonts w:ascii="Arial" w:hAnsi="Arial"/>
        </w:rPr>
        <w:t xml:space="preserve"> case</w:t>
      </w:r>
      <w:r w:rsidR="00363F3D" w:rsidRPr="00363F3D">
        <w:rPr>
          <w:rFonts w:ascii="Arial" w:hAnsi="Arial"/>
        </w:rPr>
        <w:t xml:space="preserve"> acceptances</w:t>
      </w:r>
      <w:r>
        <w:rPr>
          <w:rFonts w:ascii="Arial" w:hAnsi="Arial"/>
        </w:rPr>
        <w:t xml:space="preserve"> (H-CLIC)</w:t>
      </w:r>
    </w:p>
    <w:p w14:paraId="69037357" w14:textId="430DB296" w:rsidR="00363F3D" w:rsidRDefault="000E4644" w:rsidP="00F37114">
      <w:pPr>
        <w:pStyle w:val="ListParagraph"/>
        <w:numPr>
          <w:ilvl w:val="0"/>
          <w:numId w:val="36"/>
        </w:numPr>
        <w:spacing w:after="120" w:line="259" w:lineRule="auto"/>
        <w:ind w:left="1434" w:hanging="357"/>
        <w:contextualSpacing w:val="0"/>
        <w:rPr>
          <w:rFonts w:ascii="Arial" w:hAnsi="Arial"/>
        </w:rPr>
      </w:pPr>
      <w:r>
        <w:rPr>
          <w:rFonts w:ascii="Arial" w:hAnsi="Arial"/>
        </w:rPr>
        <w:t>The</w:t>
      </w:r>
      <w:r w:rsidR="00363F3D">
        <w:rPr>
          <w:rFonts w:ascii="Arial" w:hAnsi="Arial"/>
        </w:rPr>
        <w:t xml:space="preserve"> number of prevention and relief cases which ended in securing a</w:t>
      </w:r>
      <w:r w:rsidR="00AC20BD">
        <w:rPr>
          <w:rFonts w:ascii="Arial" w:hAnsi="Arial"/>
        </w:rPr>
        <w:t xml:space="preserve"> PRS tenanc</w:t>
      </w:r>
      <w:r>
        <w:rPr>
          <w:rFonts w:ascii="Arial" w:hAnsi="Arial"/>
        </w:rPr>
        <w:t>y</w:t>
      </w:r>
      <w:r w:rsidR="00142B35">
        <w:rPr>
          <w:rFonts w:ascii="Arial" w:hAnsi="Arial"/>
        </w:rPr>
        <w:t xml:space="preserve"> (H-CLIC)</w:t>
      </w:r>
    </w:p>
    <w:p w14:paraId="65AAEAED" w14:textId="6DACF081" w:rsidR="00363F3D" w:rsidRDefault="003243E9" w:rsidP="00071986">
      <w:pPr>
        <w:pStyle w:val="ListParagraph"/>
        <w:numPr>
          <w:ilvl w:val="0"/>
          <w:numId w:val="36"/>
        </w:numPr>
        <w:spacing w:after="160" w:line="259" w:lineRule="auto"/>
        <w:rPr>
          <w:rFonts w:ascii="Arial" w:hAnsi="Arial"/>
        </w:rPr>
      </w:pPr>
      <w:r>
        <w:rPr>
          <w:rFonts w:ascii="Arial" w:hAnsi="Arial"/>
        </w:rPr>
        <w:lastRenderedPageBreak/>
        <w:t xml:space="preserve">Private rented sector costs </w:t>
      </w:r>
      <w:r w:rsidR="000E4644">
        <w:rPr>
          <w:rFonts w:ascii="Arial" w:hAnsi="Arial"/>
        </w:rPr>
        <w:t>data</w:t>
      </w:r>
      <w:r w:rsidR="00AA1956">
        <w:rPr>
          <w:rStyle w:val="FootnoteReference"/>
          <w:rFonts w:ascii="Arial" w:hAnsi="Arial"/>
        </w:rPr>
        <w:footnoteReference w:id="8"/>
      </w:r>
    </w:p>
    <w:p w14:paraId="631F2B90" w14:textId="77777777" w:rsidR="000E4644" w:rsidRPr="000E4644" w:rsidRDefault="000E4644" w:rsidP="000E4644">
      <w:pPr>
        <w:pStyle w:val="ListParagraph"/>
        <w:spacing w:after="160" w:line="259" w:lineRule="auto"/>
        <w:ind w:left="1080"/>
        <w:rPr>
          <w:rFonts w:ascii="Arial" w:hAnsi="Arial"/>
        </w:rPr>
      </w:pPr>
    </w:p>
    <w:p w14:paraId="3CBDE4BB" w14:textId="68D3313E" w:rsidR="006F2849" w:rsidRDefault="000E4644" w:rsidP="006F2849">
      <w:pPr>
        <w:pStyle w:val="ListParagraph"/>
        <w:numPr>
          <w:ilvl w:val="1"/>
          <w:numId w:val="11"/>
        </w:numPr>
        <w:spacing w:after="120" w:line="259" w:lineRule="auto"/>
        <w:rPr>
          <w:rFonts w:ascii="Arial" w:eastAsia="Arial" w:hAnsi="Arial"/>
          <w:color w:val="000000" w:themeColor="text1"/>
        </w:rPr>
      </w:pPr>
      <w:r w:rsidRPr="53EF9F7E">
        <w:rPr>
          <w:rFonts w:ascii="Arial" w:eastAsia="Arial" w:hAnsi="Arial"/>
          <w:color w:val="000000" w:themeColor="text1"/>
        </w:rPr>
        <w:t>We are still considering these elements of the formula and</w:t>
      </w:r>
      <w:r w:rsidR="00071986" w:rsidRPr="53EF9F7E">
        <w:rPr>
          <w:rFonts w:ascii="Arial" w:eastAsia="Arial" w:hAnsi="Arial"/>
          <w:color w:val="000000" w:themeColor="text1"/>
        </w:rPr>
        <w:t xml:space="preserve"> </w:t>
      </w:r>
      <w:r w:rsidR="00040507" w:rsidRPr="53EF9F7E">
        <w:rPr>
          <w:rFonts w:ascii="Arial" w:eastAsia="Arial" w:hAnsi="Arial"/>
          <w:color w:val="000000" w:themeColor="text1"/>
        </w:rPr>
        <w:t xml:space="preserve">are seeking views as to </w:t>
      </w:r>
      <w:r w:rsidRPr="53EF9F7E">
        <w:rPr>
          <w:rFonts w:ascii="Arial" w:eastAsia="Arial" w:hAnsi="Arial"/>
          <w:color w:val="000000" w:themeColor="text1"/>
        </w:rPr>
        <w:t xml:space="preserve">whether these </w:t>
      </w:r>
      <w:r w:rsidR="006F2849" w:rsidRPr="53EF9F7E">
        <w:rPr>
          <w:rFonts w:ascii="Arial" w:eastAsia="Arial" w:hAnsi="Arial"/>
          <w:color w:val="000000" w:themeColor="text1"/>
        </w:rPr>
        <w:t xml:space="preserve">still represent an accurate reflection of homelessness </w:t>
      </w:r>
      <w:r w:rsidR="00007170" w:rsidRPr="53EF9F7E">
        <w:rPr>
          <w:rFonts w:ascii="Arial" w:eastAsia="Arial" w:hAnsi="Arial"/>
          <w:color w:val="000000" w:themeColor="text1"/>
        </w:rPr>
        <w:t>pressures</w:t>
      </w:r>
      <w:r w:rsidR="006F2849" w:rsidRPr="53EF9F7E">
        <w:rPr>
          <w:rFonts w:ascii="Arial" w:eastAsia="Arial" w:hAnsi="Arial"/>
          <w:color w:val="000000" w:themeColor="text1"/>
        </w:rPr>
        <w:t>.</w:t>
      </w:r>
      <w:r w:rsidR="00E65CD6" w:rsidRPr="53EF9F7E">
        <w:rPr>
          <w:rFonts w:ascii="Arial" w:eastAsia="Arial" w:hAnsi="Arial"/>
          <w:color w:val="000000" w:themeColor="text1"/>
        </w:rPr>
        <w:t xml:space="preserve"> In particular, </w:t>
      </w:r>
      <w:r w:rsidR="006522D4" w:rsidRPr="53EF9F7E">
        <w:rPr>
          <w:rFonts w:ascii="Arial" w:eastAsia="Arial" w:hAnsi="Arial"/>
          <w:color w:val="000000" w:themeColor="text1"/>
        </w:rPr>
        <w:t xml:space="preserve">we are considering the metric of ‘the number of prevention and relief cases which ended in securing a PRS tenancy’, as we are </w:t>
      </w:r>
      <w:r w:rsidR="002812CE" w:rsidRPr="53EF9F7E">
        <w:rPr>
          <w:rFonts w:ascii="Arial" w:eastAsia="Arial" w:hAnsi="Arial"/>
          <w:color w:val="000000" w:themeColor="text1"/>
        </w:rPr>
        <w:t>mindful tha</w:t>
      </w:r>
      <w:r w:rsidR="00C72131" w:rsidRPr="53EF9F7E">
        <w:rPr>
          <w:rFonts w:ascii="Arial" w:eastAsia="Arial" w:hAnsi="Arial"/>
          <w:color w:val="000000" w:themeColor="text1"/>
        </w:rPr>
        <w:t xml:space="preserve">t </w:t>
      </w:r>
      <w:r w:rsidR="007255C5" w:rsidRPr="53EF9F7E">
        <w:rPr>
          <w:rFonts w:ascii="Arial" w:eastAsia="Arial" w:hAnsi="Arial"/>
          <w:color w:val="000000" w:themeColor="text1"/>
        </w:rPr>
        <w:t>the ability</w:t>
      </w:r>
      <w:r w:rsidR="009D02AD" w:rsidRPr="53EF9F7E">
        <w:rPr>
          <w:rFonts w:ascii="Arial" w:eastAsia="Arial" w:hAnsi="Arial"/>
          <w:color w:val="000000" w:themeColor="text1"/>
        </w:rPr>
        <w:t xml:space="preserve"> of certain </w:t>
      </w:r>
      <w:r w:rsidR="004948AC" w:rsidRPr="53EF9F7E">
        <w:rPr>
          <w:rFonts w:ascii="Arial" w:eastAsia="Arial" w:hAnsi="Arial"/>
          <w:color w:val="000000" w:themeColor="text1"/>
        </w:rPr>
        <w:t>authorities</w:t>
      </w:r>
      <w:r w:rsidR="006216E4" w:rsidRPr="53EF9F7E">
        <w:rPr>
          <w:rFonts w:ascii="Arial" w:eastAsia="Arial" w:hAnsi="Arial"/>
          <w:color w:val="000000" w:themeColor="text1"/>
        </w:rPr>
        <w:t xml:space="preserve"> </w:t>
      </w:r>
      <w:r w:rsidR="00BB24E6" w:rsidRPr="53EF9F7E">
        <w:rPr>
          <w:rFonts w:ascii="Arial" w:eastAsia="Arial" w:hAnsi="Arial"/>
          <w:color w:val="000000" w:themeColor="text1"/>
        </w:rPr>
        <w:t xml:space="preserve">to secure tenancies in the PRS </w:t>
      </w:r>
      <w:r w:rsidR="006216E4" w:rsidRPr="53EF9F7E">
        <w:rPr>
          <w:rFonts w:ascii="Arial" w:eastAsia="Arial" w:hAnsi="Arial"/>
          <w:color w:val="000000" w:themeColor="text1"/>
        </w:rPr>
        <w:t>has reduced in recent years</w:t>
      </w:r>
      <w:r w:rsidR="00A95F5C" w:rsidRPr="53EF9F7E">
        <w:rPr>
          <w:rFonts w:ascii="Arial" w:eastAsia="Arial" w:hAnsi="Arial"/>
          <w:color w:val="000000" w:themeColor="text1"/>
        </w:rPr>
        <w:t xml:space="preserve"> </w:t>
      </w:r>
      <w:r w:rsidR="00C70F81" w:rsidRPr="53EF9F7E">
        <w:rPr>
          <w:rFonts w:ascii="Arial" w:eastAsia="Arial" w:hAnsi="Arial"/>
          <w:color w:val="000000" w:themeColor="text1"/>
        </w:rPr>
        <w:t>(</w:t>
      </w:r>
      <w:r w:rsidR="00A95F5C" w:rsidRPr="53EF9F7E">
        <w:rPr>
          <w:rFonts w:ascii="Arial" w:eastAsia="Arial" w:hAnsi="Arial"/>
          <w:color w:val="000000" w:themeColor="text1"/>
        </w:rPr>
        <w:t>such as those with particular housing market pressures</w:t>
      </w:r>
      <w:r w:rsidR="00EC6F88" w:rsidRPr="53EF9F7E">
        <w:rPr>
          <w:rFonts w:ascii="Arial" w:eastAsia="Arial" w:hAnsi="Arial"/>
          <w:color w:val="000000" w:themeColor="text1"/>
        </w:rPr>
        <w:t xml:space="preserve"> limiting availability of affordable PRS properties</w:t>
      </w:r>
      <w:r w:rsidR="00C70F81" w:rsidRPr="53EF9F7E">
        <w:rPr>
          <w:rFonts w:ascii="Arial" w:eastAsia="Arial" w:hAnsi="Arial"/>
          <w:color w:val="000000" w:themeColor="text1"/>
        </w:rPr>
        <w:t>)</w:t>
      </w:r>
      <w:r w:rsidR="00FE4D21" w:rsidRPr="53EF9F7E">
        <w:rPr>
          <w:rFonts w:ascii="Arial" w:eastAsia="Arial" w:hAnsi="Arial"/>
          <w:color w:val="000000" w:themeColor="text1"/>
        </w:rPr>
        <w:t xml:space="preserve">. </w:t>
      </w:r>
      <w:r w:rsidR="002214CC" w:rsidRPr="53EF9F7E">
        <w:rPr>
          <w:rFonts w:ascii="Arial" w:eastAsia="Arial" w:hAnsi="Arial"/>
          <w:color w:val="000000" w:themeColor="text1"/>
        </w:rPr>
        <w:t>T</w:t>
      </w:r>
      <w:r w:rsidR="00BB24E6" w:rsidRPr="53EF9F7E">
        <w:rPr>
          <w:rFonts w:ascii="Arial" w:eastAsia="Arial" w:hAnsi="Arial"/>
          <w:color w:val="000000" w:themeColor="text1"/>
        </w:rPr>
        <w:t xml:space="preserve">he </w:t>
      </w:r>
      <w:r w:rsidR="006F3D9E" w:rsidRPr="53EF9F7E">
        <w:rPr>
          <w:rFonts w:ascii="Arial" w:eastAsia="Arial" w:hAnsi="Arial"/>
          <w:color w:val="000000" w:themeColor="text1"/>
        </w:rPr>
        <w:t>illustrative</w:t>
      </w:r>
      <w:r w:rsidR="00BB24E6" w:rsidRPr="53EF9F7E">
        <w:rPr>
          <w:rFonts w:ascii="Arial" w:eastAsia="Arial" w:hAnsi="Arial"/>
          <w:color w:val="000000" w:themeColor="text1"/>
        </w:rPr>
        <w:t xml:space="preserve"> allocations </w:t>
      </w:r>
      <w:r w:rsidR="00B517B1">
        <w:rPr>
          <w:rFonts w:ascii="Arial" w:eastAsia="Arial" w:hAnsi="Arial"/>
          <w:color w:val="000000" w:themeColor="text1"/>
        </w:rPr>
        <w:t>provided alongside this document</w:t>
      </w:r>
      <w:r w:rsidR="001F0098" w:rsidRPr="53EF9F7E">
        <w:rPr>
          <w:rFonts w:ascii="Arial" w:eastAsia="Arial" w:hAnsi="Arial"/>
          <w:color w:val="000000" w:themeColor="text1"/>
        </w:rPr>
        <w:t xml:space="preserve"> are based on the current </w:t>
      </w:r>
      <w:r w:rsidR="000F02ED" w:rsidRPr="53EF9F7E">
        <w:rPr>
          <w:rFonts w:ascii="Arial" w:eastAsia="Arial" w:hAnsi="Arial"/>
          <w:color w:val="000000" w:themeColor="text1"/>
        </w:rPr>
        <w:t>method, i.e. the number of prevention and relief cases which ended in securing a PRS tenancy</w:t>
      </w:r>
      <w:r w:rsidR="00BB24E6" w:rsidRPr="53EF9F7E">
        <w:rPr>
          <w:rFonts w:ascii="Arial" w:eastAsia="Arial" w:hAnsi="Arial"/>
          <w:color w:val="000000" w:themeColor="text1"/>
        </w:rPr>
        <w:t>.</w:t>
      </w:r>
    </w:p>
    <w:p w14:paraId="336BC82E" w14:textId="3A3A211E" w:rsidR="00A455C2" w:rsidRPr="004245EF" w:rsidRDefault="00920C08" w:rsidP="00B927F9">
      <w:pPr>
        <w:pStyle w:val="CommentText"/>
        <w:spacing w:after="120"/>
        <w:rPr>
          <w:rFonts w:cs="Arial"/>
          <w:b/>
          <w:bCs/>
          <w:sz w:val="24"/>
          <w:szCs w:val="24"/>
          <w:shd w:val="clear" w:color="auto" w:fill="FFFFFF"/>
        </w:rPr>
      </w:pPr>
      <w:r>
        <w:rPr>
          <w:rFonts w:cs="Arial"/>
          <w:b/>
          <w:bCs/>
          <w:sz w:val="24"/>
          <w:szCs w:val="24"/>
          <w:shd w:val="clear" w:color="auto" w:fill="FFFFFF"/>
        </w:rPr>
        <w:t>Q</w:t>
      </w:r>
      <w:r w:rsidR="00303F3E" w:rsidRPr="006855CC">
        <w:rPr>
          <w:rFonts w:cs="Arial"/>
          <w:b/>
          <w:bCs/>
          <w:sz w:val="24"/>
          <w:szCs w:val="24"/>
          <w:shd w:val="clear" w:color="auto" w:fill="FFFFFF"/>
        </w:rPr>
        <w:t>6</w:t>
      </w:r>
      <w:r w:rsidR="007D7B4A" w:rsidRPr="006855CC">
        <w:rPr>
          <w:rFonts w:cs="Arial"/>
          <w:b/>
          <w:bCs/>
          <w:sz w:val="24"/>
          <w:szCs w:val="24"/>
          <w:shd w:val="clear" w:color="auto" w:fill="FFFFFF"/>
        </w:rPr>
        <w:t xml:space="preserve">. Do </w:t>
      </w:r>
      <w:r w:rsidR="006855CC">
        <w:rPr>
          <w:rFonts w:cs="Arial"/>
          <w:b/>
          <w:bCs/>
          <w:sz w:val="24"/>
          <w:szCs w:val="24"/>
          <w:shd w:val="clear" w:color="auto" w:fill="FFFFFF"/>
        </w:rPr>
        <w:t>the</w:t>
      </w:r>
      <w:r w:rsidR="004245EF">
        <w:rPr>
          <w:rFonts w:cs="Arial"/>
          <w:b/>
          <w:bCs/>
          <w:sz w:val="24"/>
          <w:szCs w:val="24"/>
          <w:shd w:val="clear" w:color="auto" w:fill="FFFFFF"/>
        </w:rPr>
        <w:t xml:space="preserve"> listed</w:t>
      </w:r>
      <w:r w:rsidR="006855CC">
        <w:rPr>
          <w:rFonts w:cs="Arial"/>
          <w:b/>
          <w:bCs/>
          <w:sz w:val="24"/>
          <w:szCs w:val="24"/>
          <w:shd w:val="clear" w:color="auto" w:fill="FFFFFF"/>
        </w:rPr>
        <w:t xml:space="preserve"> data sources used in the </w:t>
      </w:r>
      <w:r w:rsidR="006855CC" w:rsidRPr="004245EF">
        <w:rPr>
          <w:rFonts w:cs="Arial"/>
          <w:b/>
          <w:bCs/>
          <w:sz w:val="24"/>
          <w:szCs w:val="24"/>
          <w:shd w:val="clear" w:color="auto" w:fill="FFFFFF"/>
        </w:rPr>
        <w:t>FHSG element</w:t>
      </w:r>
      <w:r w:rsidR="007D7B4A" w:rsidRPr="004245EF">
        <w:rPr>
          <w:rFonts w:cs="Arial"/>
          <w:b/>
          <w:bCs/>
          <w:sz w:val="24"/>
          <w:szCs w:val="24"/>
          <w:shd w:val="clear" w:color="auto" w:fill="FFFFFF"/>
        </w:rPr>
        <w:t xml:space="preserve"> represent an accurate reflection of homelessness pressures? (Yes - No - Partially - Not sure) Please explain why. (300 word limit)</w:t>
      </w:r>
    </w:p>
    <w:p w14:paraId="314AD41D" w14:textId="58789BB1" w:rsidR="00920C08" w:rsidRPr="004245EF" w:rsidRDefault="00920C08" w:rsidP="006B29EF">
      <w:pPr>
        <w:pStyle w:val="BodyText"/>
        <w:rPr>
          <w:rFonts w:cs="Arial"/>
          <w:b/>
          <w:bCs/>
        </w:rPr>
      </w:pPr>
      <w:r w:rsidRPr="004245EF">
        <w:rPr>
          <w:rFonts w:cs="Arial"/>
          <w:b/>
          <w:bCs/>
          <w:shd w:val="clear" w:color="auto" w:fill="FFFFFF"/>
        </w:rPr>
        <w:t>Q7. Do you have any alternative suggestions for data sources that could be used as indicators of homelessness pressures in the formula? (500 word limit)</w:t>
      </w:r>
    </w:p>
    <w:p w14:paraId="59974270" w14:textId="130ECBE5" w:rsidR="006F2849" w:rsidRPr="003345F0" w:rsidRDefault="006F2849" w:rsidP="006B29EF">
      <w:pPr>
        <w:pStyle w:val="CommentText"/>
        <w:spacing w:after="120"/>
        <w:rPr>
          <w:rFonts w:eastAsia="Arial" w:cs="Arial"/>
          <w:b/>
          <w:bCs/>
          <w:sz w:val="26"/>
          <w:szCs w:val="26"/>
        </w:rPr>
      </w:pPr>
      <w:r w:rsidRPr="003B17AA">
        <w:rPr>
          <w:rFonts w:eastAsia="Arial" w:cs="Arial"/>
          <w:b/>
          <w:bCs/>
          <w:sz w:val="26"/>
          <w:szCs w:val="26"/>
        </w:rPr>
        <w:t xml:space="preserve">The </w:t>
      </w:r>
      <w:r w:rsidRPr="003345F0">
        <w:rPr>
          <w:rFonts w:eastAsia="Arial" w:cs="Arial"/>
          <w:b/>
          <w:bCs/>
          <w:sz w:val="26"/>
          <w:szCs w:val="26"/>
        </w:rPr>
        <w:t>overall allocations formula</w:t>
      </w:r>
      <w:r w:rsidR="00865C26" w:rsidRPr="003345F0">
        <w:rPr>
          <w:rFonts w:eastAsia="Arial" w:cs="Arial"/>
          <w:b/>
          <w:bCs/>
          <w:sz w:val="26"/>
          <w:szCs w:val="26"/>
        </w:rPr>
        <w:t xml:space="preserve"> and </w:t>
      </w:r>
      <w:r w:rsidR="00874846">
        <w:rPr>
          <w:rFonts w:eastAsia="Arial" w:cs="Arial"/>
          <w:b/>
          <w:bCs/>
          <w:sz w:val="26"/>
          <w:szCs w:val="26"/>
        </w:rPr>
        <w:t xml:space="preserve">illustrative </w:t>
      </w:r>
      <w:r w:rsidR="00865C26" w:rsidRPr="003345F0">
        <w:rPr>
          <w:rFonts w:eastAsia="Arial" w:cs="Arial"/>
          <w:b/>
          <w:bCs/>
          <w:sz w:val="26"/>
          <w:szCs w:val="26"/>
        </w:rPr>
        <w:t>allocations</w:t>
      </w:r>
    </w:p>
    <w:p w14:paraId="4F6AA850" w14:textId="75EFE0AE" w:rsidR="00AE3B2B" w:rsidRPr="00A455C2" w:rsidRDefault="00903290" w:rsidP="00A455C2">
      <w:pPr>
        <w:pStyle w:val="ListParagraph"/>
        <w:numPr>
          <w:ilvl w:val="1"/>
          <w:numId w:val="11"/>
        </w:numPr>
        <w:spacing w:after="120" w:line="259" w:lineRule="auto"/>
        <w:contextualSpacing w:val="0"/>
        <w:rPr>
          <w:rFonts w:ascii="Arial" w:eastAsia="Arial" w:hAnsi="Arial"/>
          <w:color w:val="000000" w:themeColor="text1"/>
        </w:rPr>
      </w:pPr>
      <w:r w:rsidRPr="53EF9F7E">
        <w:rPr>
          <w:rFonts w:ascii="Arial" w:eastAsia="Arial" w:hAnsi="Arial"/>
          <w:color w:val="000000" w:themeColor="text1"/>
        </w:rPr>
        <w:t>As you can see from the options above, there are multiple variables we can alter</w:t>
      </w:r>
      <w:r w:rsidR="004245EF">
        <w:rPr>
          <w:rFonts w:ascii="Arial" w:eastAsia="Arial" w:hAnsi="Arial"/>
          <w:color w:val="000000" w:themeColor="text1"/>
        </w:rPr>
        <w:t xml:space="preserve"> in the formula</w:t>
      </w:r>
      <w:r w:rsidRPr="53EF9F7E">
        <w:rPr>
          <w:rFonts w:ascii="Arial" w:eastAsia="Arial" w:hAnsi="Arial"/>
          <w:color w:val="000000" w:themeColor="text1"/>
        </w:rPr>
        <w:t xml:space="preserve">. </w:t>
      </w:r>
      <w:r w:rsidR="00874846" w:rsidRPr="53EF9F7E">
        <w:rPr>
          <w:rFonts w:ascii="Arial" w:eastAsia="Arial" w:hAnsi="Arial"/>
          <w:color w:val="000000" w:themeColor="text1"/>
        </w:rPr>
        <w:t>Illustrative</w:t>
      </w:r>
      <w:r w:rsidRPr="53EF9F7E">
        <w:rPr>
          <w:rFonts w:ascii="Arial" w:eastAsia="Arial" w:hAnsi="Arial"/>
          <w:color w:val="000000" w:themeColor="text1"/>
        </w:rPr>
        <w:t xml:space="preserve"> allocations are included </w:t>
      </w:r>
      <w:r w:rsidR="00B517B1">
        <w:rPr>
          <w:rFonts w:ascii="Arial" w:eastAsia="Arial" w:hAnsi="Arial"/>
          <w:color w:val="000000" w:themeColor="text1"/>
        </w:rPr>
        <w:t xml:space="preserve">alongside this document, </w:t>
      </w:r>
      <w:r w:rsidRPr="53EF9F7E">
        <w:rPr>
          <w:rFonts w:ascii="Arial" w:eastAsia="Arial" w:hAnsi="Arial"/>
          <w:color w:val="000000" w:themeColor="text1"/>
        </w:rPr>
        <w:t xml:space="preserve">showing the potential funding allocations </w:t>
      </w:r>
      <w:r w:rsidR="00B24F26">
        <w:rPr>
          <w:rFonts w:ascii="Arial" w:eastAsia="Arial" w:hAnsi="Arial"/>
          <w:color w:val="000000" w:themeColor="text1"/>
        </w:rPr>
        <w:t xml:space="preserve">combining the </w:t>
      </w:r>
      <w:r w:rsidRPr="53EF9F7E">
        <w:rPr>
          <w:rFonts w:ascii="Arial" w:eastAsia="Arial" w:hAnsi="Arial"/>
          <w:color w:val="000000" w:themeColor="text1"/>
        </w:rPr>
        <w:t>“Option 1”</w:t>
      </w:r>
      <w:r w:rsidR="00B24F26">
        <w:rPr>
          <w:rFonts w:ascii="Arial" w:eastAsia="Arial" w:hAnsi="Arial"/>
          <w:color w:val="000000" w:themeColor="text1"/>
        </w:rPr>
        <w:t xml:space="preserve"> approaches</w:t>
      </w:r>
      <w:r w:rsidRPr="53EF9F7E">
        <w:rPr>
          <w:rFonts w:ascii="Arial" w:eastAsia="Arial" w:hAnsi="Arial"/>
          <w:color w:val="000000" w:themeColor="text1"/>
        </w:rPr>
        <w:t xml:space="preserve">, </w:t>
      </w:r>
      <w:r w:rsidR="00B24F26">
        <w:rPr>
          <w:rFonts w:ascii="Arial" w:eastAsia="Arial" w:hAnsi="Arial"/>
          <w:color w:val="000000" w:themeColor="text1"/>
        </w:rPr>
        <w:t>as well as</w:t>
      </w:r>
      <w:r w:rsidRPr="53EF9F7E">
        <w:rPr>
          <w:rFonts w:ascii="Arial" w:eastAsia="Arial" w:hAnsi="Arial"/>
          <w:color w:val="000000" w:themeColor="text1"/>
        </w:rPr>
        <w:t xml:space="preserve"> the impact of combining the </w:t>
      </w:r>
      <w:r w:rsidR="00B24F26">
        <w:rPr>
          <w:rFonts w:ascii="Arial" w:eastAsia="Arial" w:hAnsi="Arial"/>
          <w:color w:val="000000" w:themeColor="text1"/>
        </w:rPr>
        <w:t>“</w:t>
      </w:r>
      <w:r w:rsidRPr="53EF9F7E">
        <w:rPr>
          <w:rFonts w:ascii="Arial" w:eastAsia="Arial" w:hAnsi="Arial"/>
          <w:color w:val="000000" w:themeColor="text1"/>
        </w:rPr>
        <w:t>Option 2</w:t>
      </w:r>
      <w:r w:rsidR="00B24F26">
        <w:rPr>
          <w:rFonts w:ascii="Arial" w:eastAsia="Arial" w:hAnsi="Arial"/>
          <w:color w:val="000000" w:themeColor="text1"/>
        </w:rPr>
        <w:t xml:space="preserve">” </w:t>
      </w:r>
      <w:r w:rsidRPr="53EF9F7E">
        <w:rPr>
          <w:rFonts w:ascii="Arial" w:eastAsia="Arial" w:hAnsi="Arial"/>
          <w:color w:val="000000" w:themeColor="text1"/>
        </w:rPr>
        <w:t>approaches. We have produced these to help inform the consultation and show the impacts of different combinations. We will not necessarily take forward the options above and will use feedback from the consultation to inform our final allocations formula.</w:t>
      </w:r>
    </w:p>
    <w:p w14:paraId="6FD821BE" w14:textId="7A67E7B3" w:rsidR="00903290" w:rsidRDefault="00903290" w:rsidP="00A455C2">
      <w:pPr>
        <w:pStyle w:val="ListParagraph"/>
        <w:numPr>
          <w:ilvl w:val="1"/>
          <w:numId w:val="11"/>
        </w:numPr>
        <w:spacing w:after="120" w:line="259" w:lineRule="auto"/>
        <w:contextualSpacing w:val="0"/>
        <w:rPr>
          <w:rFonts w:ascii="Arial" w:eastAsia="Arial" w:hAnsi="Arial"/>
          <w:color w:val="000000" w:themeColor="text1"/>
        </w:rPr>
      </w:pPr>
      <w:r w:rsidRPr="53EF9F7E">
        <w:rPr>
          <w:rFonts w:ascii="Arial" w:eastAsia="Arial" w:hAnsi="Arial"/>
          <w:color w:val="000000" w:themeColor="text1"/>
        </w:rPr>
        <w:t xml:space="preserve">The allocations </w:t>
      </w:r>
      <w:r w:rsidR="00B517B1">
        <w:rPr>
          <w:rFonts w:ascii="Arial" w:eastAsia="Arial" w:hAnsi="Arial"/>
          <w:color w:val="000000" w:themeColor="text1"/>
        </w:rPr>
        <w:t>provided alongside this document</w:t>
      </w:r>
      <w:r w:rsidR="00867EA7">
        <w:rPr>
          <w:rFonts w:ascii="Arial" w:eastAsia="Arial" w:hAnsi="Arial"/>
          <w:color w:val="000000" w:themeColor="text1"/>
        </w:rPr>
        <w:t xml:space="preserve"> </w:t>
      </w:r>
      <w:r w:rsidRPr="53EF9F7E">
        <w:rPr>
          <w:rFonts w:ascii="Arial" w:eastAsia="Arial" w:hAnsi="Arial"/>
          <w:color w:val="000000" w:themeColor="text1"/>
        </w:rPr>
        <w:t>are to be treated as illustrative only – they have been calculated using historic data and are subject to any newly released data in 2022.</w:t>
      </w:r>
      <w:r w:rsidR="00867EA7">
        <w:rPr>
          <w:rFonts w:ascii="Arial" w:eastAsia="Arial" w:hAnsi="Arial"/>
          <w:color w:val="000000" w:themeColor="text1"/>
        </w:rPr>
        <w:t xml:space="preserve"> </w:t>
      </w:r>
      <w:r w:rsidRPr="53EF9F7E">
        <w:rPr>
          <w:rFonts w:ascii="Arial" w:eastAsia="Arial" w:hAnsi="Arial"/>
          <w:color w:val="000000" w:themeColor="text1"/>
        </w:rPr>
        <w:t xml:space="preserve">The illustrative allocations are based on the 2021/22 overall HPG amount of £310m. This does not mean that the overall amount of the grant will be £310m in 2023-24 or any future years. </w:t>
      </w:r>
      <w:r w:rsidR="00A35380" w:rsidRPr="53EF9F7E">
        <w:rPr>
          <w:rFonts w:ascii="Arial" w:eastAsia="Arial" w:hAnsi="Arial"/>
          <w:color w:val="000000" w:themeColor="text1"/>
        </w:rPr>
        <w:t xml:space="preserve">Decisions on overall funding for those years will be taken in due course. </w:t>
      </w:r>
      <w:r w:rsidRPr="53EF9F7E">
        <w:rPr>
          <w:rFonts w:ascii="Arial" w:eastAsia="Arial" w:hAnsi="Arial"/>
          <w:color w:val="000000" w:themeColor="text1"/>
        </w:rPr>
        <w:t xml:space="preserve">Allocations are very likely to change prior to </w:t>
      </w:r>
      <w:r w:rsidR="00A35380" w:rsidRPr="53EF9F7E">
        <w:rPr>
          <w:rFonts w:ascii="Arial" w:eastAsia="Arial" w:hAnsi="Arial"/>
          <w:color w:val="000000" w:themeColor="text1"/>
        </w:rPr>
        <w:t>confirmation</w:t>
      </w:r>
      <w:r w:rsidRPr="53EF9F7E">
        <w:rPr>
          <w:rFonts w:ascii="Arial" w:eastAsia="Arial" w:hAnsi="Arial"/>
          <w:color w:val="000000" w:themeColor="text1"/>
        </w:rPr>
        <w:t>.</w:t>
      </w:r>
    </w:p>
    <w:p w14:paraId="77BA2720" w14:textId="619E0471" w:rsidR="003853CF" w:rsidRPr="003E40F0" w:rsidRDefault="00920C08" w:rsidP="00A56454">
      <w:pPr>
        <w:pStyle w:val="ListParagraph"/>
        <w:numPr>
          <w:ilvl w:val="0"/>
          <w:numId w:val="11"/>
        </w:numPr>
        <w:spacing w:after="120" w:line="257" w:lineRule="auto"/>
        <w:contextualSpacing w:val="0"/>
        <w:rPr>
          <w:rFonts w:eastAsia="Arial"/>
          <w:b/>
          <w:bCs/>
          <w:color w:val="000000" w:themeColor="text1"/>
          <w:sz w:val="26"/>
          <w:szCs w:val="26"/>
        </w:rPr>
      </w:pPr>
      <w:r w:rsidRPr="003E40F0">
        <w:rPr>
          <w:rFonts w:ascii="Arial" w:eastAsia="Arial" w:hAnsi="Arial"/>
          <w:color w:val="000000" w:themeColor="text1"/>
        </w:rPr>
        <w:br w:type="page"/>
      </w:r>
      <w:r w:rsidR="001E1F60" w:rsidRPr="003E40F0">
        <w:rPr>
          <w:rFonts w:ascii="Arial" w:eastAsia="Arial" w:hAnsi="Arial"/>
          <w:sz w:val="36"/>
          <w:szCs w:val="36"/>
        </w:rPr>
        <w:lastRenderedPageBreak/>
        <w:t>Transitional arrangements</w:t>
      </w:r>
      <w:r w:rsidR="00B07409" w:rsidRPr="003E40F0">
        <w:rPr>
          <w:rFonts w:ascii="Arial" w:eastAsia="Arial" w:hAnsi="Arial"/>
          <w:sz w:val="36"/>
          <w:szCs w:val="36"/>
        </w:rPr>
        <w:t xml:space="preserve"> for 2023-24 and 2024-25</w:t>
      </w:r>
      <w:r w:rsidR="001E1F60" w:rsidRPr="003E40F0">
        <w:rPr>
          <w:rFonts w:ascii="Arial" w:eastAsia="Arial" w:hAnsi="Arial"/>
          <w:sz w:val="36"/>
          <w:szCs w:val="36"/>
        </w:rPr>
        <w:t xml:space="preserve"> </w:t>
      </w:r>
    </w:p>
    <w:p w14:paraId="21E567E9" w14:textId="09FADB42" w:rsidR="001E1F60" w:rsidRPr="003853CF" w:rsidRDefault="001E1F60" w:rsidP="003853CF">
      <w:pPr>
        <w:spacing w:after="120" w:line="257" w:lineRule="auto"/>
        <w:rPr>
          <w:rFonts w:eastAsia="Arial"/>
          <w:b/>
          <w:bCs/>
          <w:color w:val="000000" w:themeColor="text1"/>
          <w:sz w:val="26"/>
          <w:szCs w:val="26"/>
        </w:rPr>
      </w:pPr>
      <w:r w:rsidRPr="003853CF">
        <w:rPr>
          <w:rFonts w:eastAsia="Arial"/>
          <w:b/>
          <w:bCs/>
          <w:color w:val="000000" w:themeColor="text1"/>
          <w:sz w:val="26"/>
          <w:szCs w:val="26"/>
        </w:rPr>
        <w:t>Introducing transitional arrangements to minimise the impact of changes in allocations following a refreshed formula</w:t>
      </w:r>
    </w:p>
    <w:p w14:paraId="78D02584" w14:textId="1BECA1C2" w:rsidR="001E1F60" w:rsidRPr="00B0328A" w:rsidRDefault="001E1F60" w:rsidP="00DC0608">
      <w:pPr>
        <w:pStyle w:val="Default"/>
        <w:numPr>
          <w:ilvl w:val="1"/>
          <w:numId w:val="26"/>
        </w:numPr>
        <w:spacing w:after="120"/>
        <w:rPr>
          <w:rFonts w:ascii="Arial" w:eastAsia="Arial" w:hAnsi="Arial" w:cs="Arial"/>
        </w:rPr>
      </w:pPr>
      <w:r w:rsidRPr="00B0328A">
        <w:rPr>
          <w:rFonts w:ascii="Arial" w:eastAsia="Arial" w:hAnsi="Arial" w:cs="Arial"/>
        </w:rPr>
        <w:t>The proposed updates to the</w:t>
      </w:r>
      <w:r w:rsidR="003602F3" w:rsidRPr="00B0328A">
        <w:rPr>
          <w:rFonts w:ascii="Arial" w:eastAsia="Arial" w:hAnsi="Arial" w:cs="Arial"/>
        </w:rPr>
        <w:t xml:space="preserve"> formula used to distribute funding</w:t>
      </w:r>
      <w:r w:rsidR="0050347F" w:rsidRPr="00B0328A">
        <w:rPr>
          <w:rFonts w:ascii="Arial" w:eastAsia="Arial" w:hAnsi="Arial" w:cs="Arial"/>
        </w:rPr>
        <w:t xml:space="preserve"> will</w:t>
      </w:r>
      <w:r w:rsidR="00C529DC" w:rsidRPr="00B0328A">
        <w:rPr>
          <w:rFonts w:ascii="Arial" w:eastAsia="Arial" w:hAnsi="Arial" w:cs="Arial"/>
        </w:rPr>
        <w:t xml:space="preserve"> </w:t>
      </w:r>
      <w:r w:rsidRPr="00B0328A">
        <w:rPr>
          <w:rFonts w:ascii="Arial" w:eastAsia="Arial" w:hAnsi="Arial" w:cs="Arial"/>
        </w:rPr>
        <w:t>increase or decrease the funding available to each local authority. These changes will</w:t>
      </w:r>
      <w:r w:rsidR="008515A3">
        <w:rPr>
          <w:rFonts w:ascii="Arial" w:eastAsia="Arial" w:hAnsi="Arial" w:cs="Arial"/>
        </w:rPr>
        <w:t xml:space="preserve"> ensure that </w:t>
      </w:r>
      <w:r w:rsidRPr="00B0328A">
        <w:rPr>
          <w:rFonts w:ascii="Arial" w:eastAsia="Arial" w:hAnsi="Arial" w:cs="Arial"/>
        </w:rPr>
        <w:t>distribution of fu</w:t>
      </w:r>
      <w:r w:rsidR="008515A3">
        <w:rPr>
          <w:rFonts w:ascii="Arial" w:eastAsia="Arial" w:hAnsi="Arial" w:cs="Arial"/>
        </w:rPr>
        <w:t xml:space="preserve">nding continues to </w:t>
      </w:r>
      <w:r w:rsidRPr="00B0328A">
        <w:rPr>
          <w:rFonts w:ascii="Arial" w:eastAsia="Arial" w:hAnsi="Arial" w:cs="Arial"/>
        </w:rPr>
        <w:t xml:space="preserve">represent current pressures. </w:t>
      </w:r>
      <w:r w:rsidR="00974D25" w:rsidRPr="00B0328A">
        <w:rPr>
          <w:rFonts w:ascii="Arial" w:eastAsia="Arial" w:hAnsi="Arial" w:cs="Arial"/>
        </w:rPr>
        <w:t xml:space="preserve">However, the </w:t>
      </w:r>
      <w:r w:rsidRPr="00B0328A">
        <w:rPr>
          <w:rFonts w:ascii="Arial" w:eastAsia="Arial" w:hAnsi="Arial" w:cs="Arial"/>
        </w:rPr>
        <w:t xml:space="preserve">changes </w:t>
      </w:r>
      <w:r w:rsidR="00D246D4">
        <w:rPr>
          <w:rFonts w:ascii="Arial" w:eastAsia="Arial" w:hAnsi="Arial" w:cs="Arial"/>
        </w:rPr>
        <w:t xml:space="preserve">to allocations </w:t>
      </w:r>
      <w:r w:rsidRPr="00B0328A">
        <w:rPr>
          <w:rFonts w:ascii="Arial" w:eastAsia="Arial" w:hAnsi="Arial" w:cs="Arial"/>
        </w:rPr>
        <w:t xml:space="preserve">have the potential to be significant, depending on the extent to which the new formula for determining TA pressures differs from historical data. </w:t>
      </w:r>
    </w:p>
    <w:p w14:paraId="643C2AEB" w14:textId="181F331F" w:rsidR="001E1F60" w:rsidRPr="00B0328A" w:rsidRDefault="001E1F60" w:rsidP="00DC0608">
      <w:pPr>
        <w:pStyle w:val="Default"/>
        <w:numPr>
          <w:ilvl w:val="1"/>
          <w:numId w:val="26"/>
        </w:numPr>
        <w:spacing w:after="120"/>
        <w:rPr>
          <w:rFonts w:asciiTheme="minorHAnsi" w:eastAsiaTheme="minorEastAsia" w:hAnsiTheme="minorHAnsi" w:cstheme="minorBidi"/>
          <w:color w:val="000000" w:themeColor="text1"/>
        </w:rPr>
      </w:pPr>
      <w:r w:rsidRPr="00B0328A">
        <w:rPr>
          <w:rFonts w:ascii="Arial" w:eastAsia="Arial" w:hAnsi="Arial" w:cs="Arial"/>
          <w:color w:val="000000" w:themeColor="text1"/>
        </w:rPr>
        <w:t xml:space="preserve">To provide stability to local services, and to mitigate against </w:t>
      </w:r>
      <w:r w:rsidR="00901ED1">
        <w:rPr>
          <w:rFonts w:ascii="Arial" w:eastAsia="Arial" w:hAnsi="Arial" w:cs="Arial"/>
          <w:color w:val="000000" w:themeColor="text1"/>
        </w:rPr>
        <w:t xml:space="preserve">significant changes </w:t>
      </w:r>
      <w:r w:rsidR="00567176">
        <w:rPr>
          <w:rFonts w:ascii="Arial" w:eastAsia="Arial" w:hAnsi="Arial" w:cs="Arial"/>
          <w:color w:val="000000" w:themeColor="text1"/>
        </w:rPr>
        <w:t>from previous allocations</w:t>
      </w:r>
      <w:r w:rsidRPr="00B0328A">
        <w:rPr>
          <w:rFonts w:ascii="Arial" w:eastAsia="Arial" w:hAnsi="Arial" w:cs="Arial"/>
          <w:color w:val="000000" w:themeColor="text1"/>
        </w:rPr>
        <w:t xml:space="preserve"> in the short-term, we propose to introduce transitional arrangements by capping the percentage change in funding for each local authority. This would prevent sudden and unsustainable shifts in funding, and associated risks to local service delivery, by reducing the impact of significant funding changes. We propose this as a temporary, transitional measure, with the aim of giving services time to adjust to the changes in their funding.</w:t>
      </w:r>
    </w:p>
    <w:p w14:paraId="73475DD9" w14:textId="03E65652" w:rsidR="001E1F60" w:rsidRPr="00B0328A" w:rsidRDefault="00002A9F" w:rsidP="00DC0608">
      <w:pPr>
        <w:pStyle w:val="Default"/>
        <w:numPr>
          <w:ilvl w:val="1"/>
          <w:numId w:val="26"/>
        </w:numPr>
        <w:spacing w:after="120"/>
        <w:rPr>
          <w:rFonts w:ascii="Arial" w:eastAsia="Arial" w:hAnsi="Arial" w:cs="Arial"/>
        </w:rPr>
      </w:pPr>
      <w:r>
        <w:rPr>
          <w:rFonts w:ascii="Arial" w:eastAsia="Arial" w:hAnsi="Arial" w:cs="Arial"/>
          <w:color w:val="000000" w:themeColor="text1"/>
        </w:rPr>
        <w:t>We</w:t>
      </w:r>
      <w:r w:rsidR="001E1F60" w:rsidRPr="00B0328A">
        <w:rPr>
          <w:rFonts w:ascii="Arial" w:eastAsia="Arial" w:hAnsi="Arial" w:cs="Arial"/>
          <w:color w:val="000000" w:themeColor="text1"/>
        </w:rPr>
        <w:t xml:space="preserve"> propose to limit the change in funding </w:t>
      </w:r>
      <w:r w:rsidR="00DA3AE5">
        <w:rPr>
          <w:rFonts w:ascii="Arial" w:eastAsia="Arial" w:hAnsi="Arial" w:cs="Arial"/>
          <w:color w:val="000000" w:themeColor="text1"/>
        </w:rPr>
        <w:t xml:space="preserve">allocation </w:t>
      </w:r>
      <w:r w:rsidR="00D72902">
        <w:rPr>
          <w:rFonts w:ascii="Arial" w:eastAsia="Arial" w:hAnsi="Arial" w:cs="Arial"/>
          <w:color w:val="000000" w:themeColor="text1"/>
        </w:rPr>
        <w:t>to</w:t>
      </w:r>
      <w:r w:rsidR="00DA3AE5">
        <w:rPr>
          <w:rFonts w:ascii="Arial" w:eastAsia="Arial" w:hAnsi="Arial" w:cs="Arial"/>
          <w:color w:val="000000" w:themeColor="text1"/>
        </w:rPr>
        <w:t xml:space="preserve"> 5% in </w:t>
      </w:r>
      <w:r>
        <w:rPr>
          <w:rFonts w:ascii="Arial" w:eastAsia="Arial" w:hAnsi="Arial" w:cs="Arial"/>
          <w:color w:val="000000" w:themeColor="text1"/>
        </w:rPr>
        <w:t>20</w:t>
      </w:r>
      <w:r w:rsidR="00DA3AE5">
        <w:rPr>
          <w:rFonts w:ascii="Arial" w:eastAsia="Arial" w:hAnsi="Arial" w:cs="Arial"/>
          <w:color w:val="000000" w:themeColor="text1"/>
        </w:rPr>
        <w:t>23/24</w:t>
      </w:r>
      <w:r>
        <w:rPr>
          <w:rFonts w:ascii="Arial" w:eastAsia="Arial" w:hAnsi="Arial" w:cs="Arial"/>
          <w:color w:val="000000" w:themeColor="text1"/>
        </w:rPr>
        <w:t xml:space="preserve"> </w:t>
      </w:r>
      <w:r w:rsidR="00DA3AE5">
        <w:rPr>
          <w:rFonts w:ascii="Arial" w:eastAsia="Arial" w:hAnsi="Arial" w:cs="Arial"/>
          <w:color w:val="000000" w:themeColor="text1"/>
        </w:rPr>
        <w:t xml:space="preserve">and 10% </w:t>
      </w:r>
      <w:r w:rsidR="00B63298">
        <w:rPr>
          <w:rFonts w:ascii="Arial" w:eastAsia="Arial" w:hAnsi="Arial" w:cs="Arial"/>
          <w:color w:val="000000" w:themeColor="text1"/>
        </w:rPr>
        <w:t>in</w:t>
      </w:r>
      <w:r w:rsidR="00DA3AE5">
        <w:rPr>
          <w:rFonts w:ascii="Arial" w:eastAsia="Arial" w:hAnsi="Arial" w:cs="Arial"/>
          <w:color w:val="000000" w:themeColor="text1"/>
        </w:rPr>
        <w:t xml:space="preserve"> 2024/25</w:t>
      </w:r>
      <w:r w:rsidR="00DE4A1B">
        <w:rPr>
          <w:rFonts w:ascii="Arial" w:eastAsia="Arial" w:hAnsi="Arial" w:cs="Arial"/>
          <w:color w:val="000000" w:themeColor="text1"/>
        </w:rPr>
        <w:t xml:space="preserve">, </w:t>
      </w:r>
      <w:r w:rsidR="00DA3AE5">
        <w:rPr>
          <w:rFonts w:ascii="Arial" w:eastAsia="Arial" w:hAnsi="Arial" w:cs="Arial"/>
          <w:color w:val="000000" w:themeColor="text1"/>
        </w:rPr>
        <w:t xml:space="preserve">when compared to </w:t>
      </w:r>
      <w:r w:rsidR="0075135D">
        <w:rPr>
          <w:rFonts w:ascii="Arial" w:eastAsia="Arial" w:hAnsi="Arial" w:cs="Arial"/>
          <w:color w:val="000000" w:themeColor="text1"/>
        </w:rPr>
        <w:t xml:space="preserve">the </w:t>
      </w:r>
      <w:r w:rsidR="007A0B61">
        <w:rPr>
          <w:rFonts w:ascii="Arial" w:eastAsia="Arial" w:hAnsi="Arial" w:cs="Arial"/>
          <w:color w:val="000000" w:themeColor="text1"/>
        </w:rPr>
        <w:t>authority’s</w:t>
      </w:r>
      <w:r w:rsidR="0075135D">
        <w:rPr>
          <w:rFonts w:ascii="Arial" w:eastAsia="Arial" w:hAnsi="Arial" w:cs="Arial"/>
          <w:color w:val="000000" w:themeColor="text1"/>
        </w:rPr>
        <w:t xml:space="preserve"> allocation for 2022/23</w:t>
      </w:r>
      <w:r w:rsidR="007A0B61">
        <w:rPr>
          <w:rFonts w:ascii="Arial" w:eastAsia="Arial" w:hAnsi="Arial" w:cs="Arial"/>
          <w:color w:val="000000" w:themeColor="text1"/>
        </w:rPr>
        <w:t xml:space="preserve">. </w:t>
      </w:r>
      <w:r w:rsidR="001E1F60" w:rsidRPr="00B0328A">
        <w:rPr>
          <w:rFonts w:ascii="Arial" w:eastAsia="Arial" w:hAnsi="Arial" w:cs="Arial"/>
          <w:color w:val="000000" w:themeColor="text1"/>
        </w:rPr>
        <w:t>This means</w:t>
      </w:r>
      <w:r w:rsidR="007B4D3F" w:rsidRPr="00B0328A">
        <w:rPr>
          <w:rFonts w:ascii="Arial" w:eastAsia="Arial" w:hAnsi="Arial" w:cs="Arial"/>
          <w:color w:val="000000" w:themeColor="text1"/>
        </w:rPr>
        <w:t xml:space="preserve"> that the </w:t>
      </w:r>
      <w:r w:rsidR="002D12CC" w:rsidRPr="00B0328A">
        <w:rPr>
          <w:rFonts w:ascii="Arial" w:eastAsia="Arial" w:hAnsi="Arial" w:cs="Arial"/>
          <w:color w:val="000000" w:themeColor="text1"/>
        </w:rPr>
        <w:t xml:space="preserve">percentage </w:t>
      </w:r>
      <w:r w:rsidR="007B4D3F" w:rsidRPr="00B0328A">
        <w:rPr>
          <w:rFonts w:ascii="Arial" w:eastAsia="Arial" w:hAnsi="Arial" w:cs="Arial"/>
          <w:color w:val="000000" w:themeColor="text1"/>
        </w:rPr>
        <w:t>change in allocation for</w:t>
      </w:r>
      <w:r w:rsidR="002D12CC" w:rsidRPr="00B0328A">
        <w:rPr>
          <w:rFonts w:ascii="Arial" w:eastAsia="Arial" w:hAnsi="Arial" w:cs="Arial"/>
          <w:color w:val="000000" w:themeColor="text1"/>
        </w:rPr>
        <w:t xml:space="preserve"> each authority will be capped </w:t>
      </w:r>
      <w:r w:rsidR="000A4306">
        <w:rPr>
          <w:rFonts w:ascii="Arial" w:eastAsia="Arial" w:hAnsi="Arial" w:cs="Arial"/>
          <w:color w:val="000000" w:themeColor="text1"/>
        </w:rPr>
        <w:t xml:space="preserve">at 5% </w:t>
      </w:r>
      <w:r w:rsidR="00D72902">
        <w:rPr>
          <w:rFonts w:ascii="Arial" w:eastAsia="Arial" w:hAnsi="Arial" w:cs="Arial"/>
          <w:color w:val="000000" w:themeColor="text1"/>
        </w:rPr>
        <w:t>in 2023/24 and</w:t>
      </w:r>
      <w:r w:rsidR="000A4306">
        <w:rPr>
          <w:rFonts w:ascii="Arial" w:eastAsia="Arial" w:hAnsi="Arial" w:cs="Arial"/>
          <w:color w:val="000000" w:themeColor="text1"/>
        </w:rPr>
        <w:t xml:space="preserve"> 10% in</w:t>
      </w:r>
      <w:r w:rsidR="00D72902">
        <w:rPr>
          <w:rFonts w:ascii="Arial" w:eastAsia="Arial" w:hAnsi="Arial" w:cs="Arial"/>
          <w:color w:val="000000" w:themeColor="text1"/>
        </w:rPr>
        <w:t xml:space="preserve"> 2024/25. </w:t>
      </w:r>
      <w:r w:rsidR="00806070" w:rsidRPr="00B0328A">
        <w:rPr>
          <w:rFonts w:ascii="Arial" w:eastAsia="Arial" w:hAnsi="Arial" w:cs="Arial"/>
          <w:color w:val="000000" w:themeColor="text1"/>
        </w:rPr>
        <w:t>This will</w:t>
      </w:r>
      <w:r w:rsidR="0076279C" w:rsidRPr="00B0328A">
        <w:rPr>
          <w:rFonts w:ascii="Arial" w:eastAsia="Arial" w:hAnsi="Arial" w:cs="Arial"/>
          <w:color w:val="000000" w:themeColor="text1"/>
        </w:rPr>
        <w:t xml:space="preserve"> apply</w:t>
      </w:r>
      <w:r w:rsidR="0066342C" w:rsidRPr="00B0328A">
        <w:rPr>
          <w:rFonts w:ascii="Arial" w:eastAsia="Arial" w:hAnsi="Arial" w:cs="Arial"/>
          <w:color w:val="000000" w:themeColor="text1"/>
        </w:rPr>
        <w:t xml:space="preserve"> irrespective of whether the </w:t>
      </w:r>
      <w:r w:rsidR="00471624" w:rsidRPr="00B0328A">
        <w:rPr>
          <w:rFonts w:ascii="Arial" w:eastAsia="Arial" w:hAnsi="Arial" w:cs="Arial"/>
          <w:color w:val="000000" w:themeColor="text1"/>
        </w:rPr>
        <w:t xml:space="preserve">percentage </w:t>
      </w:r>
      <w:r w:rsidR="0066342C" w:rsidRPr="00B0328A">
        <w:rPr>
          <w:rFonts w:ascii="Arial" w:eastAsia="Arial" w:hAnsi="Arial" w:cs="Arial"/>
          <w:color w:val="000000" w:themeColor="text1"/>
        </w:rPr>
        <w:t xml:space="preserve">change is an </w:t>
      </w:r>
      <w:r w:rsidR="0022434B" w:rsidRPr="00B0328A">
        <w:rPr>
          <w:rFonts w:ascii="Arial" w:eastAsia="Arial" w:hAnsi="Arial" w:cs="Arial"/>
          <w:color w:val="000000" w:themeColor="text1"/>
        </w:rPr>
        <w:t xml:space="preserve">increase </w:t>
      </w:r>
      <w:r w:rsidR="0066342C" w:rsidRPr="00B0328A">
        <w:rPr>
          <w:rFonts w:ascii="Arial" w:eastAsia="Arial" w:hAnsi="Arial" w:cs="Arial"/>
          <w:color w:val="000000" w:themeColor="text1"/>
        </w:rPr>
        <w:t>or</w:t>
      </w:r>
      <w:r w:rsidR="0022434B" w:rsidRPr="00B0328A">
        <w:rPr>
          <w:rFonts w:ascii="Arial" w:eastAsia="Arial" w:hAnsi="Arial" w:cs="Arial"/>
          <w:color w:val="000000" w:themeColor="text1"/>
        </w:rPr>
        <w:t xml:space="preserve"> decrease</w:t>
      </w:r>
      <w:r w:rsidR="00EC29DE" w:rsidRPr="00B0328A">
        <w:rPr>
          <w:rFonts w:ascii="Arial" w:eastAsia="Arial" w:hAnsi="Arial" w:cs="Arial"/>
          <w:color w:val="000000" w:themeColor="text1"/>
        </w:rPr>
        <w:t>.</w:t>
      </w:r>
      <w:r w:rsidR="001E1F60" w:rsidRPr="00B0328A">
        <w:rPr>
          <w:rFonts w:ascii="Arial" w:eastAsia="Arial" w:hAnsi="Arial" w:cs="Arial"/>
          <w:color w:val="000000" w:themeColor="text1"/>
        </w:rPr>
        <w:t xml:space="preserve"> </w:t>
      </w:r>
      <w:r w:rsidR="00F11769" w:rsidRPr="00B0328A">
        <w:rPr>
          <w:rFonts w:ascii="Arial" w:eastAsia="Arial" w:hAnsi="Arial" w:cs="Arial"/>
          <w:color w:val="000000" w:themeColor="text1"/>
        </w:rPr>
        <w:t xml:space="preserve">In order to </w:t>
      </w:r>
      <w:r w:rsidR="00EC29DE" w:rsidRPr="00B0328A">
        <w:rPr>
          <w:rFonts w:ascii="Arial" w:eastAsia="Arial" w:hAnsi="Arial" w:cs="Arial"/>
          <w:color w:val="000000" w:themeColor="text1"/>
        </w:rPr>
        <w:t xml:space="preserve">facilitate </w:t>
      </w:r>
      <w:r w:rsidR="007017F9" w:rsidRPr="00B0328A">
        <w:rPr>
          <w:rFonts w:ascii="Arial" w:eastAsia="Arial" w:hAnsi="Arial" w:cs="Arial"/>
          <w:color w:val="000000" w:themeColor="text1"/>
        </w:rPr>
        <w:t>this, funding allocations</w:t>
      </w:r>
      <w:r w:rsidR="006A723F" w:rsidRPr="00B0328A">
        <w:rPr>
          <w:rFonts w:ascii="Arial" w:eastAsia="Arial" w:hAnsi="Arial" w:cs="Arial"/>
          <w:color w:val="000000" w:themeColor="text1"/>
        </w:rPr>
        <w:t xml:space="preserve"> will be adjusted across areas, including areas which have</w:t>
      </w:r>
      <w:r w:rsidR="001832A8" w:rsidRPr="00B0328A">
        <w:rPr>
          <w:rFonts w:ascii="Arial" w:eastAsia="Arial" w:hAnsi="Arial" w:cs="Arial"/>
          <w:color w:val="000000" w:themeColor="text1"/>
        </w:rPr>
        <w:t xml:space="preserve"> an unadjusted</w:t>
      </w:r>
      <w:r w:rsidR="006A723F" w:rsidRPr="00B0328A">
        <w:rPr>
          <w:rFonts w:ascii="Arial" w:eastAsia="Arial" w:hAnsi="Arial" w:cs="Arial"/>
          <w:color w:val="000000" w:themeColor="text1"/>
        </w:rPr>
        <w:t xml:space="preserve"> percentage</w:t>
      </w:r>
      <w:r w:rsidR="001E1F60" w:rsidRPr="00B0328A">
        <w:rPr>
          <w:rFonts w:ascii="Arial" w:eastAsia="Arial" w:hAnsi="Arial" w:cs="Arial"/>
          <w:color w:val="000000" w:themeColor="text1"/>
        </w:rPr>
        <w:t xml:space="preserve"> change </w:t>
      </w:r>
      <w:r w:rsidR="0078555C" w:rsidRPr="00B0328A">
        <w:rPr>
          <w:rFonts w:ascii="Arial" w:eastAsia="Arial" w:hAnsi="Arial" w:cs="Arial"/>
          <w:color w:val="000000" w:themeColor="text1"/>
        </w:rPr>
        <w:t>below</w:t>
      </w:r>
      <w:r w:rsidR="001832A8" w:rsidRPr="00B0328A">
        <w:rPr>
          <w:rFonts w:ascii="Arial" w:eastAsia="Arial" w:hAnsi="Arial" w:cs="Arial"/>
          <w:color w:val="000000" w:themeColor="text1"/>
        </w:rPr>
        <w:t xml:space="preserve"> the cap.</w:t>
      </w:r>
      <w:r w:rsidR="00B0328A">
        <w:rPr>
          <w:rFonts w:ascii="Arial" w:eastAsia="Arial" w:hAnsi="Arial" w:cs="Arial"/>
          <w:color w:val="000000" w:themeColor="text1"/>
        </w:rPr>
        <w:t xml:space="preserve"> </w:t>
      </w:r>
      <w:r w:rsidR="009B6819" w:rsidRPr="00B0328A">
        <w:rPr>
          <w:rFonts w:ascii="Arial" w:eastAsia="Arial" w:hAnsi="Arial" w:cs="Arial"/>
          <w:color w:val="000000" w:themeColor="text1"/>
        </w:rPr>
        <w:t>We would review this approach for 2025 onwards.</w:t>
      </w:r>
    </w:p>
    <w:p w14:paraId="72C54964" w14:textId="2F2876F6" w:rsidR="00E725F1" w:rsidRPr="00B0328A" w:rsidRDefault="001E1F60" w:rsidP="00DC0608">
      <w:pPr>
        <w:pStyle w:val="Default"/>
        <w:numPr>
          <w:ilvl w:val="1"/>
          <w:numId w:val="26"/>
        </w:numPr>
        <w:spacing w:after="120"/>
        <w:rPr>
          <w:rFonts w:asciiTheme="minorHAnsi" w:eastAsiaTheme="minorEastAsia" w:hAnsiTheme="minorHAnsi" w:cstheme="minorBidi"/>
          <w:color w:val="000000" w:themeColor="text1"/>
        </w:rPr>
      </w:pPr>
      <w:r w:rsidRPr="00B0328A">
        <w:rPr>
          <w:rFonts w:ascii="Arial" w:eastAsia="Arial" w:hAnsi="Arial" w:cs="Arial"/>
          <w:color w:val="000000" w:themeColor="text1"/>
        </w:rPr>
        <w:t xml:space="preserve">We </w:t>
      </w:r>
      <w:r w:rsidRPr="69E8DEBC">
        <w:rPr>
          <w:rFonts w:ascii="Arial" w:eastAsia="Arial" w:hAnsi="Arial" w:cs="Arial"/>
          <w:color w:val="000000" w:themeColor="text1"/>
        </w:rPr>
        <w:t>plan</w:t>
      </w:r>
      <w:r w:rsidRPr="00B0328A">
        <w:rPr>
          <w:rFonts w:ascii="Arial" w:eastAsia="Arial" w:hAnsi="Arial" w:cs="Arial"/>
          <w:color w:val="000000" w:themeColor="text1"/>
        </w:rPr>
        <w:t xml:space="preserve"> to allocate funding for 2023-24 and 2024-25 in late 2022. This means that we </w:t>
      </w:r>
      <w:r w:rsidRPr="69E8DEBC">
        <w:rPr>
          <w:rFonts w:ascii="Arial" w:eastAsia="Arial" w:hAnsi="Arial" w:cs="Arial"/>
          <w:color w:val="000000" w:themeColor="text1"/>
        </w:rPr>
        <w:t>would</w:t>
      </w:r>
      <w:r w:rsidRPr="00B0328A">
        <w:rPr>
          <w:rFonts w:ascii="Arial" w:eastAsia="Arial" w:hAnsi="Arial" w:cs="Arial"/>
          <w:color w:val="000000" w:themeColor="text1"/>
        </w:rPr>
        <w:t xml:space="preserve"> be able to announce the next two financial years of funding this year, providing early certainty to local authorities and allowing them time to plan and structure their homelessness services. </w:t>
      </w:r>
    </w:p>
    <w:p w14:paraId="19052CEE" w14:textId="3E688EC3" w:rsidR="00A7703D" w:rsidRDefault="00005939" w:rsidP="00A7703D">
      <w:pPr>
        <w:pStyle w:val="Default"/>
        <w:spacing w:after="120"/>
        <w:rPr>
          <w:rFonts w:ascii="Arial" w:eastAsia="Arial" w:hAnsi="Arial" w:cs="Arial"/>
          <w:color w:val="000000" w:themeColor="text1"/>
          <w:sz w:val="22"/>
          <w:szCs w:val="22"/>
        </w:rPr>
      </w:pPr>
      <w:r>
        <w:rPr>
          <w:noProof/>
        </w:rPr>
        <mc:AlternateContent>
          <mc:Choice Requires="wps">
            <w:drawing>
              <wp:anchor distT="0" distB="0" distL="114300" distR="114300" simplePos="0" relativeHeight="251658251" behindDoc="0" locked="0" layoutInCell="1" allowOverlap="1" wp14:anchorId="67427568" wp14:editId="4032EF8D">
                <wp:simplePos x="0" y="0"/>
                <wp:positionH relativeFrom="column">
                  <wp:posOffset>-136281</wp:posOffset>
                </wp:positionH>
                <wp:positionV relativeFrom="paragraph">
                  <wp:posOffset>64330</wp:posOffset>
                </wp:positionV>
                <wp:extent cx="6477000" cy="1969477"/>
                <wp:effectExtent l="0" t="0" r="19050" b="12065"/>
                <wp:wrapNone/>
                <wp:docPr id="35" name="Text Box 35"/>
                <wp:cNvGraphicFramePr/>
                <a:graphic xmlns:a="http://schemas.openxmlformats.org/drawingml/2006/main">
                  <a:graphicData uri="http://schemas.microsoft.com/office/word/2010/wordprocessingShape">
                    <wps:wsp>
                      <wps:cNvSpPr txBox="1"/>
                      <wps:spPr>
                        <a:xfrm>
                          <a:off x="0" y="0"/>
                          <a:ext cx="6477000" cy="1969477"/>
                        </a:xfrm>
                        <a:prstGeom prst="rect">
                          <a:avLst/>
                        </a:prstGeom>
                        <a:solidFill>
                          <a:schemeClr val="lt1"/>
                        </a:solidFill>
                        <a:ln w="6350">
                          <a:solidFill>
                            <a:prstClr val="black"/>
                          </a:solidFill>
                        </a:ln>
                      </wps:spPr>
                      <wps:txbx>
                        <w:txbxContent>
                          <w:p w14:paraId="6B844839" w14:textId="2296932B" w:rsidR="00C81F39" w:rsidRPr="0050288F" w:rsidRDefault="00E725F1" w:rsidP="00005939">
                            <w:pPr>
                              <w:spacing w:after="120"/>
                              <w:rPr>
                                <w:rFonts w:cs="Arial"/>
                                <w:b/>
                                <w:bCs/>
                                <w:u w:val="single"/>
                              </w:rPr>
                            </w:pPr>
                            <w:r w:rsidRPr="0050288F">
                              <w:rPr>
                                <w:rFonts w:cs="Arial"/>
                                <w:b/>
                                <w:bCs/>
                                <w:u w:val="single"/>
                              </w:rPr>
                              <w:t>Example 1:</w:t>
                            </w:r>
                          </w:p>
                          <w:p w14:paraId="4B5F1604" w14:textId="49790BED" w:rsidR="00C81F39" w:rsidRDefault="00E725F1" w:rsidP="00E725F1">
                            <w:pPr>
                              <w:rPr>
                                <w:rFonts w:cs="Arial"/>
                              </w:rPr>
                            </w:pPr>
                            <w:r w:rsidRPr="0050288F">
                              <w:rPr>
                                <w:rFonts w:cs="Arial"/>
                              </w:rPr>
                              <w:t>Area A has a funding allocation of £865,000 in 2022/23.</w:t>
                            </w:r>
                            <w:r>
                              <w:rPr>
                                <w:rFonts w:cs="Arial"/>
                              </w:rPr>
                              <w:t xml:space="preserve"> </w:t>
                            </w:r>
                            <w:r w:rsidRPr="0050288F">
                              <w:rPr>
                                <w:rFonts w:cs="Arial"/>
                              </w:rPr>
                              <w:t xml:space="preserve">Under the updated funding formula, </w:t>
                            </w:r>
                            <w:r>
                              <w:rPr>
                                <w:rFonts w:cs="Arial"/>
                              </w:rPr>
                              <w:t>they have</w:t>
                            </w:r>
                            <w:r w:rsidRPr="0050288F">
                              <w:rPr>
                                <w:rFonts w:cs="Arial"/>
                              </w:rPr>
                              <w:t xml:space="preserve"> a</w:t>
                            </w:r>
                            <w:r>
                              <w:rPr>
                                <w:rFonts w:cs="Arial"/>
                              </w:rPr>
                              <w:t xml:space="preserve"> </w:t>
                            </w:r>
                            <w:r w:rsidRPr="0050288F">
                              <w:rPr>
                                <w:rFonts w:cs="Arial"/>
                              </w:rPr>
                              <w:t>funding allocation of £1,113,000 for 2023</w:t>
                            </w:r>
                            <w:r>
                              <w:rPr>
                                <w:rFonts w:cs="Arial"/>
                              </w:rPr>
                              <w:t>/24, and £1,113,000 for 2024/25</w:t>
                            </w:r>
                            <w:r w:rsidRPr="0050288F">
                              <w:rPr>
                                <w:rFonts w:cs="Arial"/>
                              </w:rPr>
                              <w:t>.</w:t>
                            </w:r>
                          </w:p>
                          <w:p w14:paraId="6AB9605E" w14:textId="77777777" w:rsidR="00C81F39" w:rsidRPr="0050288F" w:rsidRDefault="00C81F39" w:rsidP="00E725F1">
                            <w:pPr>
                              <w:rPr>
                                <w:rFonts w:cs="Arial"/>
                              </w:rPr>
                            </w:pPr>
                          </w:p>
                          <w:p w14:paraId="6DD8AD66" w14:textId="3F0BE4F6" w:rsidR="00E725F1" w:rsidRDefault="00E725F1" w:rsidP="00E725F1">
                            <w:pPr>
                              <w:rPr>
                                <w:rFonts w:cs="Arial"/>
                              </w:rPr>
                            </w:pPr>
                            <w:r>
                              <w:rPr>
                                <w:rFonts w:cs="Arial"/>
                              </w:rPr>
                              <w:t>Transitional arrangements are then applied, which caps the percentage change at 5% between 22/23 and 23/24, and at 10% between 2</w:t>
                            </w:r>
                            <w:r w:rsidR="000D2271">
                              <w:rPr>
                                <w:rFonts w:cs="Arial"/>
                              </w:rPr>
                              <w:t>2</w:t>
                            </w:r>
                            <w:r>
                              <w:rPr>
                                <w:rFonts w:cs="Arial"/>
                              </w:rPr>
                              <w:t>/2</w:t>
                            </w:r>
                            <w:r w:rsidR="000D2271">
                              <w:rPr>
                                <w:rFonts w:cs="Arial"/>
                              </w:rPr>
                              <w:t>3</w:t>
                            </w:r>
                            <w:r>
                              <w:rPr>
                                <w:rFonts w:cs="Arial"/>
                              </w:rPr>
                              <w:t xml:space="preserve"> and 24/25. Area A’s adjusted allocations are as follows:</w:t>
                            </w:r>
                          </w:p>
                          <w:p w14:paraId="383FAD53" w14:textId="77777777" w:rsidR="00E725F1" w:rsidRDefault="00E725F1" w:rsidP="00E725F1">
                            <w:pPr>
                              <w:rPr>
                                <w:rFonts w:cs="Arial"/>
                              </w:rPr>
                            </w:pPr>
                          </w:p>
                          <w:p w14:paraId="2C810BC8" w14:textId="77777777" w:rsidR="00E725F1" w:rsidRDefault="00E725F1" w:rsidP="00E725F1">
                            <w:pPr>
                              <w:ind w:left="720"/>
                              <w:rPr>
                                <w:rFonts w:cs="Arial"/>
                                <w:b/>
                                <w:bCs/>
                              </w:rPr>
                            </w:pPr>
                            <w:r w:rsidRPr="00CB0384">
                              <w:rPr>
                                <w:rFonts w:cs="Arial"/>
                                <w:u w:val="single"/>
                              </w:rPr>
                              <w:t>2023/24:</w:t>
                            </w:r>
                            <w:r>
                              <w:rPr>
                                <w:rFonts w:cs="Arial"/>
                              </w:rPr>
                              <w:t xml:space="preserve"> £865,000 x 1.05 (5% cap) = </w:t>
                            </w:r>
                            <w:r w:rsidRPr="0050288F">
                              <w:rPr>
                                <w:rFonts w:cs="Arial"/>
                                <w:b/>
                                <w:bCs/>
                              </w:rPr>
                              <w:t>£908,250</w:t>
                            </w:r>
                          </w:p>
                          <w:p w14:paraId="6DADB685" w14:textId="4298B2F5" w:rsidR="00E725F1" w:rsidRPr="0050288F" w:rsidRDefault="00E725F1" w:rsidP="00E725F1">
                            <w:pPr>
                              <w:ind w:left="720"/>
                              <w:rPr>
                                <w:rFonts w:cs="Arial"/>
                              </w:rPr>
                            </w:pPr>
                            <w:r w:rsidRPr="00CB0384">
                              <w:rPr>
                                <w:rFonts w:cs="Arial"/>
                                <w:u w:val="single"/>
                              </w:rPr>
                              <w:t>2024/25:</w:t>
                            </w:r>
                            <w:r w:rsidRPr="0050288F">
                              <w:rPr>
                                <w:rFonts w:cs="Arial"/>
                              </w:rPr>
                              <w:t xml:space="preserve"> </w:t>
                            </w:r>
                            <w:r>
                              <w:rPr>
                                <w:rFonts w:cs="Arial"/>
                              </w:rPr>
                              <w:t>£</w:t>
                            </w:r>
                            <w:r w:rsidR="00005939">
                              <w:rPr>
                                <w:rFonts w:cs="Arial"/>
                              </w:rPr>
                              <w:t>865</w:t>
                            </w:r>
                            <w:r>
                              <w:rPr>
                                <w:rFonts w:cs="Arial"/>
                              </w:rPr>
                              <w:t>,</w:t>
                            </w:r>
                            <w:r w:rsidR="00005939">
                              <w:rPr>
                                <w:rFonts w:cs="Arial"/>
                              </w:rPr>
                              <w:t>000</w:t>
                            </w:r>
                            <w:r>
                              <w:rPr>
                                <w:rFonts w:cs="Arial"/>
                              </w:rPr>
                              <w:t xml:space="preserve"> x 1.10 (10% cap) = </w:t>
                            </w:r>
                            <w:r w:rsidRPr="00CB0384">
                              <w:rPr>
                                <w:rFonts w:cs="Arial"/>
                                <w:b/>
                                <w:bCs/>
                              </w:rPr>
                              <w:t>£</w:t>
                            </w:r>
                            <w:r w:rsidR="00005939">
                              <w:rPr>
                                <w:rFonts w:cs="Arial"/>
                                <w:b/>
                                <w:bCs/>
                              </w:rPr>
                              <w:t>951,500</w:t>
                            </w:r>
                          </w:p>
                          <w:p w14:paraId="3C3FF55E" w14:textId="77777777" w:rsidR="00E725F1" w:rsidRDefault="00E725F1" w:rsidP="00E725F1"/>
                          <w:p w14:paraId="7CB4E419" w14:textId="77777777" w:rsidR="00E725F1" w:rsidRDefault="00E725F1" w:rsidP="00E72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27568" id="Text Box 35" o:spid="_x0000_s1065" type="#_x0000_t202" style="position:absolute;margin-left:-10.75pt;margin-top:5.05pt;width:510pt;height:155.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" fillcolor="white [3201]" strokeweight=".5pt">
                <v:textbox>
                  <w:txbxContent>
                    <w:p w14:paraId="6B844839" w14:textId="2296932B" w:rsidR="00C81F39" w:rsidRPr="0050288F" w:rsidRDefault="00E725F1" w:rsidP="00005939">
                      <w:pPr>
                        <w:spacing w:after="120"/>
                        <w:rPr>
                          <w:rFonts w:cs="Arial"/>
                          <w:b/>
                          <w:bCs/>
                          <w:u w:val="single"/>
                        </w:rPr>
                      </w:pPr>
                      <w:r w:rsidRPr="0050288F">
                        <w:rPr>
                          <w:rFonts w:cs="Arial"/>
                          <w:b/>
                          <w:bCs/>
                          <w:u w:val="single"/>
                        </w:rPr>
                        <w:t>Example 1:</w:t>
                      </w:r>
                    </w:p>
                    <w:p w14:paraId="4B5F1604" w14:textId="49790BED" w:rsidR="00C81F39" w:rsidRDefault="00E725F1" w:rsidP="00E725F1">
                      <w:pPr>
                        <w:rPr>
                          <w:rFonts w:cs="Arial"/>
                        </w:rPr>
                      </w:pPr>
                      <w:r w:rsidRPr="0050288F">
                        <w:rPr>
                          <w:rFonts w:cs="Arial"/>
                        </w:rPr>
                        <w:t>Area A has a funding allocation of £865,000 in 2022/23.</w:t>
                      </w:r>
                      <w:r>
                        <w:rPr>
                          <w:rFonts w:cs="Arial"/>
                        </w:rPr>
                        <w:t xml:space="preserve"> </w:t>
                      </w:r>
                      <w:r w:rsidRPr="0050288F">
                        <w:rPr>
                          <w:rFonts w:cs="Arial"/>
                        </w:rPr>
                        <w:t xml:space="preserve">Under the updated funding formula, </w:t>
                      </w:r>
                      <w:r>
                        <w:rPr>
                          <w:rFonts w:cs="Arial"/>
                        </w:rPr>
                        <w:t>they have</w:t>
                      </w:r>
                      <w:r w:rsidRPr="0050288F">
                        <w:rPr>
                          <w:rFonts w:cs="Arial"/>
                        </w:rPr>
                        <w:t xml:space="preserve"> a</w:t>
                      </w:r>
                      <w:r>
                        <w:rPr>
                          <w:rFonts w:cs="Arial"/>
                        </w:rPr>
                        <w:t xml:space="preserve"> </w:t>
                      </w:r>
                      <w:r w:rsidRPr="0050288F">
                        <w:rPr>
                          <w:rFonts w:cs="Arial"/>
                        </w:rPr>
                        <w:t>funding allocation of £1,113,000 for 2023</w:t>
                      </w:r>
                      <w:r>
                        <w:rPr>
                          <w:rFonts w:cs="Arial"/>
                        </w:rPr>
                        <w:t>/24, and £1,113,000 for 2024/25</w:t>
                      </w:r>
                      <w:r w:rsidRPr="0050288F">
                        <w:rPr>
                          <w:rFonts w:cs="Arial"/>
                        </w:rPr>
                        <w:t>.</w:t>
                      </w:r>
                    </w:p>
                    <w:p w14:paraId="6AB9605E" w14:textId="77777777" w:rsidR="00C81F39" w:rsidRPr="0050288F" w:rsidRDefault="00C81F39" w:rsidP="00E725F1">
                      <w:pPr>
                        <w:rPr>
                          <w:rFonts w:cs="Arial"/>
                        </w:rPr>
                      </w:pPr>
                    </w:p>
                    <w:p w14:paraId="6DD8AD66" w14:textId="3F0BE4F6" w:rsidR="00E725F1" w:rsidRDefault="00E725F1" w:rsidP="00E725F1">
                      <w:pPr>
                        <w:rPr>
                          <w:rFonts w:cs="Arial"/>
                        </w:rPr>
                      </w:pPr>
                      <w:r>
                        <w:rPr>
                          <w:rFonts w:cs="Arial"/>
                        </w:rPr>
                        <w:t>Transitional arrangements are then applied, which caps the percentage change at 5% between 22/23 and 23/24, and at 10% between 2</w:t>
                      </w:r>
                      <w:r w:rsidR="000D2271">
                        <w:rPr>
                          <w:rFonts w:cs="Arial"/>
                        </w:rPr>
                        <w:t>2</w:t>
                      </w:r>
                      <w:r>
                        <w:rPr>
                          <w:rFonts w:cs="Arial"/>
                        </w:rPr>
                        <w:t>/2</w:t>
                      </w:r>
                      <w:r w:rsidR="000D2271">
                        <w:rPr>
                          <w:rFonts w:cs="Arial"/>
                        </w:rPr>
                        <w:t>3</w:t>
                      </w:r>
                      <w:r>
                        <w:rPr>
                          <w:rFonts w:cs="Arial"/>
                        </w:rPr>
                        <w:t xml:space="preserve"> and 24/25. Area A’s adjusted allocations are as follows:</w:t>
                      </w:r>
                    </w:p>
                    <w:p w14:paraId="383FAD53" w14:textId="77777777" w:rsidR="00E725F1" w:rsidRDefault="00E725F1" w:rsidP="00E725F1">
                      <w:pPr>
                        <w:rPr>
                          <w:rFonts w:cs="Arial"/>
                        </w:rPr>
                      </w:pPr>
                    </w:p>
                    <w:p w14:paraId="2C810BC8" w14:textId="77777777" w:rsidR="00E725F1" w:rsidRDefault="00E725F1" w:rsidP="00E725F1">
                      <w:pPr>
                        <w:ind w:left="720"/>
                        <w:rPr>
                          <w:rFonts w:cs="Arial"/>
                          <w:b/>
                          <w:bCs/>
                        </w:rPr>
                      </w:pPr>
                      <w:r w:rsidRPr="00CB0384">
                        <w:rPr>
                          <w:rFonts w:cs="Arial"/>
                          <w:u w:val="single"/>
                        </w:rPr>
                        <w:t>2023/24:</w:t>
                      </w:r>
                      <w:r>
                        <w:rPr>
                          <w:rFonts w:cs="Arial"/>
                        </w:rPr>
                        <w:t xml:space="preserve"> £865,000 x 1.05 (5% cap) = </w:t>
                      </w:r>
                      <w:r w:rsidRPr="0050288F">
                        <w:rPr>
                          <w:rFonts w:cs="Arial"/>
                          <w:b/>
                          <w:bCs/>
                        </w:rPr>
                        <w:t>£908,250</w:t>
                      </w:r>
                    </w:p>
                    <w:p w14:paraId="6DADB685" w14:textId="4298B2F5" w:rsidR="00E725F1" w:rsidRPr="0050288F" w:rsidRDefault="00E725F1" w:rsidP="00E725F1">
                      <w:pPr>
                        <w:ind w:left="720"/>
                        <w:rPr>
                          <w:rFonts w:cs="Arial"/>
                        </w:rPr>
                      </w:pPr>
                      <w:r w:rsidRPr="00CB0384">
                        <w:rPr>
                          <w:rFonts w:cs="Arial"/>
                          <w:u w:val="single"/>
                        </w:rPr>
                        <w:t>2024/25:</w:t>
                      </w:r>
                      <w:r w:rsidRPr="0050288F">
                        <w:rPr>
                          <w:rFonts w:cs="Arial"/>
                        </w:rPr>
                        <w:t xml:space="preserve"> </w:t>
                      </w:r>
                      <w:r>
                        <w:rPr>
                          <w:rFonts w:cs="Arial"/>
                        </w:rPr>
                        <w:t>£</w:t>
                      </w:r>
                      <w:r w:rsidR="00005939">
                        <w:rPr>
                          <w:rFonts w:cs="Arial"/>
                        </w:rPr>
                        <w:t>865</w:t>
                      </w:r>
                      <w:r>
                        <w:rPr>
                          <w:rFonts w:cs="Arial"/>
                        </w:rPr>
                        <w:t>,</w:t>
                      </w:r>
                      <w:r w:rsidR="00005939">
                        <w:rPr>
                          <w:rFonts w:cs="Arial"/>
                        </w:rPr>
                        <w:t>000</w:t>
                      </w:r>
                      <w:r>
                        <w:rPr>
                          <w:rFonts w:cs="Arial"/>
                        </w:rPr>
                        <w:t xml:space="preserve"> x 1.10 (10% cap) = </w:t>
                      </w:r>
                      <w:r w:rsidRPr="00CB0384">
                        <w:rPr>
                          <w:rFonts w:cs="Arial"/>
                          <w:b/>
                          <w:bCs/>
                        </w:rPr>
                        <w:t>£</w:t>
                      </w:r>
                      <w:r w:rsidR="00005939">
                        <w:rPr>
                          <w:rFonts w:cs="Arial"/>
                          <w:b/>
                          <w:bCs/>
                        </w:rPr>
                        <w:t>951,500</w:t>
                      </w:r>
                    </w:p>
                    <w:p w14:paraId="3C3FF55E" w14:textId="77777777" w:rsidR="00E725F1" w:rsidRDefault="00E725F1" w:rsidP="00E725F1"/>
                    <w:p w14:paraId="7CB4E419" w14:textId="77777777" w:rsidR="00E725F1" w:rsidRDefault="00E725F1" w:rsidP="00E725F1"/>
                  </w:txbxContent>
                </v:textbox>
              </v:shape>
            </w:pict>
          </mc:Fallback>
        </mc:AlternateContent>
      </w:r>
    </w:p>
    <w:p w14:paraId="7386A495" w14:textId="5A9CFDEF" w:rsidR="00A7703D" w:rsidRDefault="00A7703D" w:rsidP="00A7703D">
      <w:pPr>
        <w:pStyle w:val="Default"/>
        <w:spacing w:after="120"/>
        <w:rPr>
          <w:rFonts w:ascii="Arial" w:eastAsia="Arial" w:hAnsi="Arial" w:cs="Arial"/>
          <w:color w:val="000000" w:themeColor="text1"/>
          <w:sz w:val="22"/>
          <w:szCs w:val="22"/>
        </w:rPr>
      </w:pPr>
    </w:p>
    <w:p w14:paraId="2AC4F290" w14:textId="39ABECA8" w:rsidR="00A7703D" w:rsidRDefault="00A7703D" w:rsidP="00A7703D">
      <w:pPr>
        <w:pStyle w:val="Default"/>
        <w:spacing w:after="120"/>
        <w:rPr>
          <w:rFonts w:ascii="Arial" w:eastAsia="Arial" w:hAnsi="Arial" w:cs="Arial"/>
          <w:color w:val="000000" w:themeColor="text1"/>
          <w:sz w:val="22"/>
          <w:szCs w:val="22"/>
        </w:rPr>
      </w:pPr>
    </w:p>
    <w:p w14:paraId="1899EB5B" w14:textId="6CAE5E82" w:rsidR="00A7703D" w:rsidRDefault="00A7703D" w:rsidP="00A7703D">
      <w:pPr>
        <w:pStyle w:val="Default"/>
        <w:spacing w:after="120"/>
        <w:rPr>
          <w:rFonts w:ascii="Arial" w:eastAsia="Arial" w:hAnsi="Arial" w:cs="Arial"/>
          <w:color w:val="000000" w:themeColor="text1"/>
          <w:sz w:val="22"/>
          <w:szCs w:val="22"/>
        </w:rPr>
      </w:pPr>
    </w:p>
    <w:p w14:paraId="2783DB47" w14:textId="4C8CDD89" w:rsidR="00A7703D" w:rsidRDefault="00A7703D" w:rsidP="00A7703D">
      <w:pPr>
        <w:pStyle w:val="Default"/>
        <w:spacing w:after="120"/>
        <w:rPr>
          <w:rFonts w:ascii="Arial" w:eastAsia="Arial" w:hAnsi="Arial" w:cs="Arial"/>
          <w:color w:val="000000" w:themeColor="text1"/>
          <w:sz w:val="22"/>
          <w:szCs w:val="22"/>
        </w:rPr>
      </w:pPr>
    </w:p>
    <w:p w14:paraId="2E445025" w14:textId="04D1D11F" w:rsidR="00A7703D" w:rsidRDefault="00A7703D" w:rsidP="00A7703D">
      <w:pPr>
        <w:pStyle w:val="Default"/>
        <w:spacing w:after="120"/>
        <w:rPr>
          <w:rFonts w:ascii="Arial" w:eastAsia="Arial" w:hAnsi="Arial" w:cs="Arial"/>
          <w:color w:val="000000" w:themeColor="text1"/>
          <w:sz w:val="22"/>
          <w:szCs w:val="22"/>
        </w:rPr>
      </w:pPr>
    </w:p>
    <w:p w14:paraId="1BA59D4B" w14:textId="77777777" w:rsidR="00A7703D" w:rsidRDefault="00A7703D" w:rsidP="00A7703D">
      <w:pPr>
        <w:pStyle w:val="Default"/>
        <w:spacing w:after="120"/>
        <w:rPr>
          <w:rFonts w:ascii="Arial" w:eastAsia="Arial" w:hAnsi="Arial" w:cs="Arial"/>
          <w:color w:val="000000" w:themeColor="text1"/>
          <w:sz w:val="22"/>
          <w:szCs w:val="22"/>
        </w:rPr>
      </w:pPr>
    </w:p>
    <w:p w14:paraId="1D24231D" w14:textId="77777777" w:rsidR="00A7703D" w:rsidRDefault="00A7703D" w:rsidP="00A7703D">
      <w:pPr>
        <w:pStyle w:val="Default"/>
        <w:spacing w:after="120"/>
        <w:rPr>
          <w:rFonts w:ascii="Arial" w:eastAsia="Arial" w:hAnsi="Arial" w:cs="Arial"/>
          <w:color w:val="000000" w:themeColor="text1"/>
          <w:sz w:val="22"/>
          <w:szCs w:val="22"/>
        </w:rPr>
      </w:pPr>
    </w:p>
    <w:p w14:paraId="281CCF25" w14:textId="77777777" w:rsidR="00A7703D" w:rsidRDefault="00A7703D" w:rsidP="00A7703D">
      <w:pPr>
        <w:pStyle w:val="Default"/>
        <w:spacing w:after="120"/>
        <w:rPr>
          <w:rFonts w:ascii="Arial" w:eastAsia="Arial" w:hAnsi="Arial" w:cs="Arial"/>
          <w:color w:val="000000" w:themeColor="text1"/>
          <w:sz w:val="22"/>
          <w:szCs w:val="22"/>
        </w:rPr>
      </w:pPr>
    </w:p>
    <w:p w14:paraId="5FCB789D" w14:textId="79FAC1F5" w:rsidR="00A7703D" w:rsidRDefault="00005939" w:rsidP="00A7703D">
      <w:pPr>
        <w:pStyle w:val="Default"/>
        <w:spacing w:after="120"/>
        <w:rPr>
          <w:rFonts w:ascii="Arial" w:eastAsia="Arial" w:hAnsi="Arial" w:cs="Arial"/>
          <w:color w:val="000000" w:themeColor="text1"/>
          <w:sz w:val="22"/>
          <w:szCs w:val="22"/>
        </w:rPr>
      </w:pPr>
      <w:r>
        <w:rPr>
          <w:noProof/>
        </w:rPr>
        <mc:AlternateContent>
          <mc:Choice Requires="wps">
            <w:drawing>
              <wp:anchor distT="0" distB="0" distL="114300" distR="114300" simplePos="0" relativeHeight="251658252" behindDoc="0" locked="0" layoutInCell="1" allowOverlap="1" wp14:anchorId="540E8068" wp14:editId="165F33CC">
                <wp:simplePos x="0" y="0"/>
                <wp:positionH relativeFrom="column">
                  <wp:posOffset>-136281</wp:posOffset>
                </wp:positionH>
                <wp:positionV relativeFrom="paragraph">
                  <wp:posOffset>113129</wp:posOffset>
                </wp:positionV>
                <wp:extent cx="6477000" cy="1976510"/>
                <wp:effectExtent l="0" t="0" r="19050" b="24130"/>
                <wp:wrapNone/>
                <wp:docPr id="38" name="Text Box 38"/>
                <wp:cNvGraphicFramePr/>
                <a:graphic xmlns:a="http://schemas.openxmlformats.org/drawingml/2006/main">
                  <a:graphicData uri="http://schemas.microsoft.com/office/word/2010/wordprocessingShape">
                    <wps:wsp>
                      <wps:cNvSpPr txBox="1"/>
                      <wps:spPr>
                        <a:xfrm>
                          <a:off x="0" y="0"/>
                          <a:ext cx="6477000" cy="1976510"/>
                        </a:xfrm>
                        <a:prstGeom prst="rect">
                          <a:avLst/>
                        </a:prstGeom>
                        <a:solidFill>
                          <a:schemeClr val="lt1"/>
                        </a:solidFill>
                        <a:ln w="6350">
                          <a:solidFill>
                            <a:prstClr val="black"/>
                          </a:solidFill>
                        </a:ln>
                      </wps:spPr>
                      <wps:txbx>
                        <w:txbxContent>
                          <w:p w14:paraId="6CF7EED6" w14:textId="76A7D08B" w:rsidR="00C81F39" w:rsidRPr="0050288F" w:rsidRDefault="00C81F39" w:rsidP="00005939">
                            <w:pPr>
                              <w:spacing w:after="120"/>
                              <w:rPr>
                                <w:rFonts w:cs="Arial"/>
                                <w:b/>
                                <w:bCs/>
                                <w:u w:val="single"/>
                              </w:rPr>
                            </w:pPr>
                            <w:r w:rsidRPr="0050288F">
                              <w:rPr>
                                <w:rFonts w:cs="Arial"/>
                                <w:b/>
                                <w:bCs/>
                                <w:u w:val="single"/>
                              </w:rPr>
                              <w:t xml:space="preserve">Example </w:t>
                            </w:r>
                            <w:r>
                              <w:rPr>
                                <w:rFonts w:cs="Arial"/>
                                <w:b/>
                                <w:bCs/>
                                <w:u w:val="single"/>
                              </w:rPr>
                              <w:t>2</w:t>
                            </w:r>
                            <w:r w:rsidRPr="0050288F">
                              <w:rPr>
                                <w:rFonts w:cs="Arial"/>
                                <w:b/>
                                <w:bCs/>
                                <w:u w:val="single"/>
                              </w:rPr>
                              <w:t>:</w:t>
                            </w:r>
                          </w:p>
                          <w:p w14:paraId="7E9278CE" w14:textId="4898FF12" w:rsidR="00C81F39" w:rsidRDefault="00C81F39" w:rsidP="00C81F39">
                            <w:pPr>
                              <w:rPr>
                                <w:rFonts w:cs="Arial"/>
                              </w:rPr>
                            </w:pPr>
                            <w:r w:rsidRPr="0050288F">
                              <w:rPr>
                                <w:rFonts w:cs="Arial"/>
                              </w:rPr>
                              <w:t xml:space="preserve">Area </w:t>
                            </w:r>
                            <w:r w:rsidR="00C73535">
                              <w:rPr>
                                <w:rFonts w:cs="Arial"/>
                              </w:rPr>
                              <w:t>B</w:t>
                            </w:r>
                            <w:r w:rsidRPr="0050288F">
                              <w:rPr>
                                <w:rFonts w:cs="Arial"/>
                              </w:rPr>
                              <w:t xml:space="preserve"> has a funding allocation of £</w:t>
                            </w:r>
                            <w:r w:rsidR="002A72D2">
                              <w:rPr>
                                <w:rFonts w:cs="Arial"/>
                              </w:rPr>
                              <w:t>400</w:t>
                            </w:r>
                            <w:r w:rsidRPr="0050288F">
                              <w:rPr>
                                <w:rFonts w:cs="Arial"/>
                              </w:rPr>
                              <w:t>,000 in 2022/23.</w:t>
                            </w:r>
                            <w:r>
                              <w:rPr>
                                <w:rFonts w:cs="Arial"/>
                              </w:rPr>
                              <w:t xml:space="preserve"> </w:t>
                            </w:r>
                            <w:r w:rsidRPr="0050288F">
                              <w:rPr>
                                <w:rFonts w:cs="Arial"/>
                              </w:rPr>
                              <w:t xml:space="preserve">Under the updated funding formula, </w:t>
                            </w:r>
                            <w:r>
                              <w:rPr>
                                <w:rFonts w:cs="Arial"/>
                              </w:rPr>
                              <w:t>they have</w:t>
                            </w:r>
                            <w:r w:rsidRPr="0050288F">
                              <w:rPr>
                                <w:rFonts w:cs="Arial"/>
                              </w:rPr>
                              <w:t xml:space="preserve"> a</w:t>
                            </w:r>
                            <w:r>
                              <w:rPr>
                                <w:rFonts w:cs="Arial"/>
                              </w:rPr>
                              <w:t xml:space="preserve"> </w:t>
                            </w:r>
                            <w:r w:rsidRPr="0050288F">
                              <w:rPr>
                                <w:rFonts w:cs="Arial"/>
                              </w:rPr>
                              <w:t>funding allocation of £</w:t>
                            </w:r>
                            <w:r w:rsidR="002A72D2">
                              <w:rPr>
                                <w:rFonts w:cs="Arial"/>
                              </w:rPr>
                              <w:t>3</w:t>
                            </w:r>
                            <w:r w:rsidR="00C73535">
                              <w:rPr>
                                <w:rFonts w:cs="Arial"/>
                              </w:rPr>
                              <w:t>2</w:t>
                            </w:r>
                            <w:r w:rsidR="002A72D2">
                              <w:rPr>
                                <w:rFonts w:cs="Arial"/>
                              </w:rPr>
                              <w:t>0</w:t>
                            </w:r>
                            <w:r w:rsidRPr="0050288F">
                              <w:rPr>
                                <w:rFonts w:cs="Arial"/>
                              </w:rPr>
                              <w:t>,000 for 2023</w:t>
                            </w:r>
                            <w:r>
                              <w:rPr>
                                <w:rFonts w:cs="Arial"/>
                              </w:rPr>
                              <w:t>/24, and £</w:t>
                            </w:r>
                            <w:r w:rsidR="002A72D2">
                              <w:rPr>
                                <w:rFonts w:cs="Arial"/>
                              </w:rPr>
                              <w:t>3</w:t>
                            </w:r>
                            <w:r w:rsidR="00C73535">
                              <w:rPr>
                                <w:rFonts w:cs="Arial"/>
                              </w:rPr>
                              <w:t>2</w:t>
                            </w:r>
                            <w:r w:rsidR="002A72D2">
                              <w:rPr>
                                <w:rFonts w:cs="Arial"/>
                              </w:rPr>
                              <w:t>0</w:t>
                            </w:r>
                            <w:r>
                              <w:rPr>
                                <w:rFonts w:cs="Arial"/>
                              </w:rPr>
                              <w:t>,000 for 2024/25</w:t>
                            </w:r>
                            <w:r w:rsidRPr="0050288F">
                              <w:rPr>
                                <w:rFonts w:cs="Arial"/>
                              </w:rPr>
                              <w:t>.</w:t>
                            </w:r>
                          </w:p>
                          <w:p w14:paraId="54317AC9" w14:textId="77777777" w:rsidR="00C81F39" w:rsidRPr="0050288F" w:rsidRDefault="00C81F39" w:rsidP="00C81F39">
                            <w:pPr>
                              <w:rPr>
                                <w:rFonts w:cs="Arial"/>
                              </w:rPr>
                            </w:pPr>
                          </w:p>
                          <w:p w14:paraId="094045EB" w14:textId="7F629A0D" w:rsidR="00C81F39" w:rsidRDefault="00C81F39" w:rsidP="00C81F39">
                            <w:pPr>
                              <w:rPr>
                                <w:rFonts w:cs="Arial"/>
                              </w:rPr>
                            </w:pPr>
                            <w:r>
                              <w:rPr>
                                <w:rFonts w:cs="Arial"/>
                              </w:rPr>
                              <w:t>Transitional arrangements are then applied, which caps the percentage change at 5% between 22/23 and 23/24, and at 10% between 2</w:t>
                            </w:r>
                            <w:r w:rsidR="005A5C99">
                              <w:rPr>
                                <w:rFonts w:cs="Arial"/>
                              </w:rPr>
                              <w:t>2</w:t>
                            </w:r>
                            <w:r>
                              <w:rPr>
                                <w:rFonts w:cs="Arial"/>
                              </w:rPr>
                              <w:t>/2</w:t>
                            </w:r>
                            <w:r w:rsidR="005A5C99">
                              <w:rPr>
                                <w:rFonts w:cs="Arial"/>
                              </w:rPr>
                              <w:t>3</w:t>
                            </w:r>
                            <w:r>
                              <w:rPr>
                                <w:rFonts w:cs="Arial"/>
                              </w:rPr>
                              <w:t xml:space="preserve"> and 24/25. Area </w:t>
                            </w:r>
                            <w:r w:rsidR="00C73535">
                              <w:rPr>
                                <w:rFonts w:cs="Arial"/>
                              </w:rPr>
                              <w:t>B’</w:t>
                            </w:r>
                            <w:r>
                              <w:rPr>
                                <w:rFonts w:cs="Arial"/>
                              </w:rPr>
                              <w:t>s adjusted allocations are as follows:</w:t>
                            </w:r>
                          </w:p>
                          <w:p w14:paraId="01C6F422" w14:textId="77777777" w:rsidR="00C81F39" w:rsidRDefault="00C81F39" w:rsidP="00C81F39">
                            <w:pPr>
                              <w:rPr>
                                <w:rFonts w:cs="Arial"/>
                              </w:rPr>
                            </w:pPr>
                          </w:p>
                          <w:p w14:paraId="489072D3" w14:textId="154DC6E3" w:rsidR="00C81F39" w:rsidRDefault="00C81F39" w:rsidP="00C81F39">
                            <w:pPr>
                              <w:ind w:left="720"/>
                              <w:rPr>
                                <w:rFonts w:cs="Arial"/>
                                <w:b/>
                                <w:bCs/>
                              </w:rPr>
                            </w:pPr>
                            <w:r w:rsidRPr="00CB0384">
                              <w:rPr>
                                <w:rFonts w:cs="Arial"/>
                                <w:u w:val="single"/>
                              </w:rPr>
                              <w:t>2023/24:</w:t>
                            </w:r>
                            <w:r>
                              <w:rPr>
                                <w:rFonts w:cs="Arial"/>
                              </w:rPr>
                              <w:t xml:space="preserve"> £</w:t>
                            </w:r>
                            <w:r w:rsidR="00B409F0">
                              <w:rPr>
                                <w:rFonts w:cs="Arial"/>
                              </w:rPr>
                              <w:t>400</w:t>
                            </w:r>
                            <w:r>
                              <w:rPr>
                                <w:rFonts w:cs="Arial"/>
                              </w:rPr>
                              <w:t xml:space="preserve">,000 x </w:t>
                            </w:r>
                            <w:r w:rsidR="00B409F0">
                              <w:rPr>
                                <w:rFonts w:cs="Arial"/>
                              </w:rPr>
                              <w:t>0.95</w:t>
                            </w:r>
                            <w:r>
                              <w:rPr>
                                <w:rFonts w:cs="Arial"/>
                              </w:rPr>
                              <w:t xml:space="preserve"> (5% cap) = </w:t>
                            </w:r>
                            <w:r w:rsidRPr="0050288F">
                              <w:rPr>
                                <w:rFonts w:cs="Arial"/>
                                <w:b/>
                                <w:bCs/>
                              </w:rPr>
                              <w:t>£</w:t>
                            </w:r>
                            <w:r w:rsidR="009C39F4">
                              <w:rPr>
                                <w:rFonts w:cs="Arial"/>
                                <w:b/>
                                <w:bCs/>
                              </w:rPr>
                              <w:t>380,000</w:t>
                            </w:r>
                          </w:p>
                          <w:p w14:paraId="6891E484" w14:textId="005DC859" w:rsidR="00C81F39" w:rsidRPr="0050288F" w:rsidRDefault="00C81F39" w:rsidP="00C81F39">
                            <w:pPr>
                              <w:ind w:left="720"/>
                              <w:rPr>
                                <w:rFonts w:cs="Arial"/>
                              </w:rPr>
                            </w:pPr>
                            <w:r w:rsidRPr="00CB0384">
                              <w:rPr>
                                <w:rFonts w:cs="Arial"/>
                                <w:u w:val="single"/>
                              </w:rPr>
                              <w:t>2024/25:</w:t>
                            </w:r>
                            <w:r w:rsidRPr="0050288F">
                              <w:rPr>
                                <w:rFonts w:cs="Arial"/>
                              </w:rPr>
                              <w:t xml:space="preserve"> </w:t>
                            </w:r>
                            <w:r>
                              <w:rPr>
                                <w:rFonts w:cs="Arial"/>
                              </w:rPr>
                              <w:t>£</w:t>
                            </w:r>
                            <w:r w:rsidR="005A5C99">
                              <w:rPr>
                                <w:rFonts w:cs="Arial"/>
                              </w:rPr>
                              <w:t>400</w:t>
                            </w:r>
                            <w:r>
                              <w:rPr>
                                <w:rFonts w:cs="Arial"/>
                              </w:rPr>
                              <w:t>,</w:t>
                            </w:r>
                            <w:r w:rsidR="00B409F0">
                              <w:rPr>
                                <w:rFonts w:cs="Arial"/>
                              </w:rPr>
                              <w:t>00</w:t>
                            </w:r>
                            <w:r>
                              <w:rPr>
                                <w:rFonts w:cs="Arial"/>
                              </w:rPr>
                              <w:t xml:space="preserve">0 x </w:t>
                            </w:r>
                            <w:r w:rsidR="00B409F0">
                              <w:rPr>
                                <w:rFonts w:cs="Arial"/>
                              </w:rPr>
                              <w:t>0.9</w:t>
                            </w:r>
                            <w:r>
                              <w:rPr>
                                <w:rFonts w:cs="Arial"/>
                              </w:rPr>
                              <w:t xml:space="preserve"> (10% cap) = </w:t>
                            </w:r>
                            <w:r w:rsidRPr="00CB0384">
                              <w:rPr>
                                <w:rFonts w:cs="Arial"/>
                                <w:b/>
                                <w:bCs/>
                              </w:rPr>
                              <w:t>£</w:t>
                            </w:r>
                            <w:r w:rsidR="008E6F08">
                              <w:rPr>
                                <w:rFonts w:cs="Arial"/>
                                <w:b/>
                                <w:bCs/>
                              </w:rPr>
                              <w:t>3</w:t>
                            </w:r>
                            <w:r w:rsidR="005A5C99">
                              <w:rPr>
                                <w:rFonts w:cs="Arial"/>
                                <w:b/>
                                <w:bCs/>
                              </w:rPr>
                              <w:t>60</w:t>
                            </w:r>
                            <w:r w:rsidR="008E6F08">
                              <w:rPr>
                                <w:rFonts w:cs="Arial"/>
                                <w:b/>
                                <w:bCs/>
                              </w:rPr>
                              <w:t>,000</w:t>
                            </w:r>
                          </w:p>
                          <w:p w14:paraId="3FF880F5" w14:textId="77777777" w:rsidR="00C81F39" w:rsidRDefault="00C81F39" w:rsidP="00C81F39"/>
                          <w:p w14:paraId="3B780B26" w14:textId="77777777" w:rsidR="00C81F39" w:rsidRDefault="00C81F39" w:rsidP="00C81F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E8068" id="Text Box 38" o:spid="_x0000_s1066" type="#_x0000_t202" style="position:absolute;margin-left:-10.75pt;margin-top:8.9pt;width:510pt;height:155.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" fillcolor="white [3201]" strokeweight=".5pt">
                <v:textbox>
                  <w:txbxContent>
                    <w:p w14:paraId="6CF7EED6" w14:textId="76A7D08B" w:rsidR="00C81F39" w:rsidRPr="0050288F" w:rsidRDefault="00C81F39" w:rsidP="00005939">
                      <w:pPr>
                        <w:spacing w:after="120"/>
                        <w:rPr>
                          <w:rFonts w:cs="Arial"/>
                          <w:b/>
                          <w:bCs/>
                          <w:u w:val="single"/>
                        </w:rPr>
                      </w:pPr>
                      <w:r w:rsidRPr="0050288F">
                        <w:rPr>
                          <w:rFonts w:cs="Arial"/>
                          <w:b/>
                          <w:bCs/>
                          <w:u w:val="single"/>
                        </w:rPr>
                        <w:t xml:space="preserve">Example </w:t>
                      </w:r>
                      <w:r>
                        <w:rPr>
                          <w:rFonts w:cs="Arial"/>
                          <w:b/>
                          <w:bCs/>
                          <w:u w:val="single"/>
                        </w:rPr>
                        <w:t>2</w:t>
                      </w:r>
                      <w:r w:rsidRPr="0050288F">
                        <w:rPr>
                          <w:rFonts w:cs="Arial"/>
                          <w:b/>
                          <w:bCs/>
                          <w:u w:val="single"/>
                        </w:rPr>
                        <w:t>:</w:t>
                      </w:r>
                    </w:p>
                    <w:p w14:paraId="7E9278CE" w14:textId="4898FF12" w:rsidR="00C81F39" w:rsidRDefault="00C81F39" w:rsidP="00C81F39">
                      <w:pPr>
                        <w:rPr>
                          <w:rFonts w:cs="Arial"/>
                        </w:rPr>
                      </w:pPr>
                      <w:r w:rsidRPr="0050288F">
                        <w:rPr>
                          <w:rFonts w:cs="Arial"/>
                        </w:rPr>
                        <w:t xml:space="preserve">Area </w:t>
                      </w:r>
                      <w:r w:rsidR="00C73535">
                        <w:rPr>
                          <w:rFonts w:cs="Arial"/>
                        </w:rPr>
                        <w:t>B</w:t>
                      </w:r>
                      <w:r w:rsidRPr="0050288F">
                        <w:rPr>
                          <w:rFonts w:cs="Arial"/>
                        </w:rPr>
                        <w:t xml:space="preserve"> has a funding allocation of £</w:t>
                      </w:r>
                      <w:r w:rsidR="002A72D2">
                        <w:rPr>
                          <w:rFonts w:cs="Arial"/>
                        </w:rPr>
                        <w:t>400</w:t>
                      </w:r>
                      <w:r w:rsidRPr="0050288F">
                        <w:rPr>
                          <w:rFonts w:cs="Arial"/>
                        </w:rPr>
                        <w:t>,000 in 2022/23.</w:t>
                      </w:r>
                      <w:r>
                        <w:rPr>
                          <w:rFonts w:cs="Arial"/>
                        </w:rPr>
                        <w:t xml:space="preserve"> </w:t>
                      </w:r>
                      <w:r w:rsidRPr="0050288F">
                        <w:rPr>
                          <w:rFonts w:cs="Arial"/>
                        </w:rPr>
                        <w:t xml:space="preserve">Under the updated funding formula, </w:t>
                      </w:r>
                      <w:r>
                        <w:rPr>
                          <w:rFonts w:cs="Arial"/>
                        </w:rPr>
                        <w:t>they have</w:t>
                      </w:r>
                      <w:r w:rsidRPr="0050288F">
                        <w:rPr>
                          <w:rFonts w:cs="Arial"/>
                        </w:rPr>
                        <w:t xml:space="preserve"> a</w:t>
                      </w:r>
                      <w:r>
                        <w:rPr>
                          <w:rFonts w:cs="Arial"/>
                        </w:rPr>
                        <w:t xml:space="preserve"> </w:t>
                      </w:r>
                      <w:r w:rsidRPr="0050288F">
                        <w:rPr>
                          <w:rFonts w:cs="Arial"/>
                        </w:rPr>
                        <w:t>funding allocation of £</w:t>
                      </w:r>
                      <w:r w:rsidR="002A72D2">
                        <w:rPr>
                          <w:rFonts w:cs="Arial"/>
                        </w:rPr>
                        <w:t>3</w:t>
                      </w:r>
                      <w:r w:rsidR="00C73535">
                        <w:rPr>
                          <w:rFonts w:cs="Arial"/>
                        </w:rPr>
                        <w:t>2</w:t>
                      </w:r>
                      <w:r w:rsidR="002A72D2">
                        <w:rPr>
                          <w:rFonts w:cs="Arial"/>
                        </w:rPr>
                        <w:t>0</w:t>
                      </w:r>
                      <w:r w:rsidRPr="0050288F">
                        <w:rPr>
                          <w:rFonts w:cs="Arial"/>
                        </w:rPr>
                        <w:t>,000 for 2023</w:t>
                      </w:r>
                      <w:r>
                        <w:rPr>
                          <w:rFonts w:cs="Arial"/>
                        </w:rPr>
                        <w:t>/24, and £</w:t>
                      </w:r>
                      <w:r w:rsidR="002A72D2">
                        <w:rPr>
                          <w:rFonts w:cs="Arial"/>
                        </w:rPr>
                        <w:t>3</w:t>
                      </w:r>
                      <w:r w:rsidR="00C73535">
                        <w:rPr>
                          <w:rFonts w:cs="Arial"/>
                        </w:rPr>
                        <w:t>2</w:t>
                      </w:r>
                      <w:r w:rsidR="002A72D2">
                        <w:rPr>
                          <w:rFonts w:cs="Arial"/>
                        </w:rPr>
                        <w:t>0</w:t>
                      </w:r>
                      <w:r>
                        <w:rPr>
                          <w:rFonts w:cs="Arial"/>
                        </w:rPr>
                        <w:t>,000 for 2024/25</w:t>
                      </w:r>
                      <w:r w:rsidRPr="0050288F">
                        <w:rPr>
                          <w:rFonts w:cs="Arial"/>
                        </w:rPr>
                        <w:t>.</w:t>
                      </w:r>
                    </w:p>
                    <w:p w14:paraId="54317AC9" w14:textId="77777777" w:rsidR="00C81F39" w:rsidRPr="0050288F" w:rsidRDefault="00C81F39" w:rsidP="00C81F39">
                      <w:pPr>
                        <w:rPr>
                          <w:rFonts w:cs="Arial"/>
                        </w:rPr>
                      </w:pPr>
                    </w:p>
                    <w:p w14:paraId="094045EB" w14:textId="7F629A0D" w:rsidR="00C81F39" w:rsidRDefault="00C81F39" w:rsidP="00C81F39">
                      <w:pPr>
                        <w:rPr>
                          <w:rFonts w:cs="Arial"/>
                        </w:rPr>
                      </w:pPr>
                      <w:r>
                        <w:rPr>
                          <w:rFonts w:cs="Arial"/>
                        </w:rPr>
                        <w:t>Transitional arrangements are then applied, which caps the percentage change at 5% between 22/23 and 23/24, and at 10% between 2</w:t>
                      </w:r>
                      <w:r w:rsidR="005A5C99">
                        <w:rPr>
                          <w:rFonts w:cs="Arial"/>
                        </w:rPr>
                        <w:t>2</w:t>
                      </w:r>
                      <w:r>
                        <w:rPr>
                          <w:rFonts w:cs="Arial"/>
                        </w:rPr>
                        <w:t>/2</w:t>
                      </w:r>
                      <w:r w:rsidR="005A5C99">
                        <w:rPr>
                          <w:rFonts w:cs="Arial"/>
                        </w:rPr>
                        <w:t>3</w:t>
                      </w:r>
                      <w:r>
                        <w:rPr>
                          <w:rFonts w:cs="Arial"/>
                        </w:rPr>
                        <w:t xml:space="preserve"> and 24/25. Area </w:t>
                      </w:r>
                      <w:r w:rsidR="00C73535">
                        <w:rPr>
                          <w:rFonts w:cs="Arial"/>
                        </w:rPr>
                        <w:t>B’</w:t>
                      </w:r>
                      <w:r>
                        <w:rPr>
                          <w:rFonts w:cs="Arial"/>
                        </w:rPr>
                        <w:t>s adjusted allocations are as follows:</w:t>
                      </w:r>
                    </w:p>
                    <w:p w14:paraId="01C6F422" w14:textId="77777777" w:rsidR="00C81F39" w:rsidRDefault="00C81F39" w:rsidP="00C81F39">
                      <w:pPr>
                        <w:rPr>
                          <w:rFonts w:cs="Arial"/>
                        </w:rPr>
                      </w:pPr>
                    </w:p>
                    <w:p w14:paraId="489072D3" w14:textId="154DC6E3" w:rsidR="00C81F39" w:rsidRDefault="00C81F39" w:rsidP="00C81F39">
                      <w:pPr>
                        <w:ind w:left="720"/>
                        <w:rPr>
                          <w:rFonts w:cs="Arial"/>
                          <w:b/>
                          <w:bCs/>
                        </w:rPr>
                      </w:pPr>
                      <w:r w:rsidRPr="00CB0384">
                        <w:rPr>
                          <w:rFonts w:cs="Arial"/>
                          <w:u w:val="single"/>
                        </w:rPr>
                        <w:t>2023/24:</w:t>
                      </w:r>
                      <w:r>
                        <w:rPr>
                          <w:rFonts w:cs="Arial"/>
                        </w:rPr>
                        <w:t xml:space="preserve"> £</w:t>
                      </w:r>
                      <w:r w:rsidR="00B409F0">
                        <w:rPr>
                          <w:rFonts w:cs="Arial"/>
                        </w:rPr>
                        <w:t>400</w:t>
                      </w:r>
                      <w:r>
                        <w:rPr>
                          <w:rFonts w:cs="Arial"/>
                        </w:rPr>
                        <w:t xml:space="preserve">,000 x </w:t>
                      </w:r>
                      <w:r w:rsidR="00B409F0">
                        <w:rPr>
                          <w:rFonts w:cs="Arial"/>
                        </w:rPr>
                        <w:t>0.95</w:t>
                      </w:r>
                      <w:r>
                        <w:rPr>
                          <w:rFonts w:cs="Arial"/>
                        </w:rPr>
                        <w:t xml:space="preserve"> (5% cap) = </w:t>
                      </w:r>
                      <w:r w:rsidRPr="0050288F">
                        <w:rPr>
                          <w:rFonts w:cs="Arial"/>
                          <w:b/>
                          <w:bCs/>
                        </w:rPr>
                        <w:t>£</w:t>
                      </w:r>
                      <w:r w:rsidR="009C39F4">
                        <w:rPr>
                          <w:rFonts w:cs="Arial"/>
                          <w:b/>
                          <w:bCs/>
                        </w:rPr>
                        <w:t>380,000</w:t>
                      </w:r>
                    </w:p>
                    <w:p w14:paraId="6891E484" w14:textId="005DC859" w:rsidR="00C81F39" w:rsidRPr="0050288F" w:rsidRDefault="00C81F39" w:rsidP="00C81F39">
                      <w:pPr>
                        <w:ind w:left="720"/>
                        <w:rPr>
                          <w:rFonts w:cs="Arial"/>
                        </w:rPr>
                      </w:pPr>
                      <w:r w:rsidRPr="00CB0384">
                        <w:rPr>
                          <w:rFonts w:cs="Arial"/>
                          <w:u w:val="single"/>
                        </w:rPr>
                        <w:t>2024/25:</w:t>
                      </w:r>
                      <w:r w:rsidRPr="0050288F">
                        <w:rPr>
                          <w:rFonts w:cs="Arial"/>
                        </w:rPr>
                        <w:t xml:space="preserve"> </w:t>
                      </w:r>
                      <w:r>
                        <w:rPr>
                          <w:rFonts w:cs="Arial"/>
                        </w:rPr>
                        <w:t>£</w:t>
                      </w:r>
                      <w:r w:rsidR="005A5C99">
                        <w:rPr>
                          <w:rFonts w:cs="Arial"/>
                        </w:rPr>
                        <w:t>400</w:t>
                      </w:r>
                      <w:r>
                        <w:rPr>
                          <w:rFonts w:cs="Arial"/>
                        </w:rPr>
                        <w:t>,</w:t>
                      </w:r>
                      <w:r w:rsidR="00B409F0">
                        <w:rPr>
                          <w:rFonts w:cs="Arial"/>
                        </w:rPr>
                        <w:t>00</w:t>
                      </w:r>
                      <w:r>
                        <w:rPr>
                          <w:rFonts w:cs="Arial"/>
                        </w:rPr>
                        <w:t xml:space="preserve">0 x </w:t>
                      </w:r>
                      <w:r w:rsidR="00B409F0">
                        <w:rPr>
                          <w:rFonts w:cs="Arial"/>
                        </w:rPr>
                        <w:t>0.9</w:t>
                      </w:r>
                      <w:r>
                        <w:rPr>
                          <w:rFonts w:cs="Arial"/>
                        </w:rPr>
                        <w:t xml:space="preserve"> (10% cap) = </w:t>
                      </w:r>
                      <w:r w:rsidRPr="00CB0384">
                        <w:rPr>
                          <w:rFonts w:cs="Arial"/>
                          <w:b/>
                          <w:bCs/>
                        </w:rPr>
                        <w:t>£</w:t>
                      </w:r>
                      <w:r w:rsidR="008E6F08">
                        <w:rPr>
                          <w:rFonts w:cs="Arial"/>
                          <w:b/>
                          <w:bCs/>
                        </w:rPr>
                        <w:t>3</w:t>
                      </w:r>
                      <w:r w:rsidR="005A5C99">
                        <w:rPr>
                          <w:rFonts w:cs="Arial"/>
                          <w:b/>
                          <w:bCs/>
                        </w:rPr>
                        <w:t>60</w:t>
                      </w:r>
                      <w:r w:rsidR="008E6F08">
                        <w:rPr>
                          <w:rFonts w:cs="Arial"/>
                          <w:b/>
                          <w:bCs/>
                        </w:rPr>
                        <w:t>,000</w:t>
                      </w:r>
                    </w:p>
                    <w:p w14:paraId="3FF880F5" w14:textId="77777777" w:rsidR="00C81F39" w:rsidRDefault="00C81F39" w:rsidP="00C81F39"/>
                    <w:p w14:paraId="3B780B26" w14:textId="77777777" w:rsidR="00C81F39" w:rsidRDefault="00C81F39" w:rsidP="00C81F39"/>
                  </w:txbxContent>
                </v:textbox>
              </v:shape>
            </w:pict>
          </mc:Fallback>
        </mc:AlternateContent>
      </w:r>
    </w:p>
    <w:p w14:paraId="53CABD60" w14:textId="2DF06260" w:rsidR="00A7703D" w:rsidRDefault="00A7703D" w:rsidP="00A7703D">
      <w:pPr>
        <w:pStyle w:val="Default"/>
        <w:spacing w:after="120"/>
        <w:rPr>
          <w:rFonts w:ascii="Arial" w:eastAsia="Arial" w:hAnsi="Arial" w:cs="Arial"/>
          <w:color w:val="000000" w:themeColor="text1"/>
          <w:sz w:val="22"/>
          <w:szCs w:val="22"/>
        </w:rPr>
      </w:pPr>
    </w:p>
    <w:p w14:paraId="6A4763A1" w14:textId="4D2D048B" w:rsidR="00C81F39" w:rsidRDefault="00C81F39" w:rsidP="00C81F39">
      <w:pPr>
        <w:pStyle w:val="Default"/>
        <w:spacing w:after="120"/>
        <w:ind w:left="720"/>
        <w:rPr>
          <w:rFonts w:asciiTheme="minorHAnsi" w:eastAsiaTheme="minorEastAsia" w:hAnsiTheme="minorHAnsi" w:cstheme="minorBidi"/>
          <w:color w:val="000000" w:themeColor="text1"/>
        </w:rPr>
      </w:pPr>
    </w:p>
    <w:p w14:paraId="0B6A01DB" w14:textId="07E70920" w:rsidR="00FF4005" w:rsidRDefault="00FF4005" w:rsidP="00C81F39">
      <w:pPr>
        <w:pStyle w:val="Default"/>
        <w:spacing w:after="120"/>
        <w:ind w:left="720"/>
        <w:rPr>
          <w:rFonts w:asciiTheme="minorHAnsi" w:eastAsiaTheme="minorEastAsia" w:hAnsiTheme="minorHAnsi" w:cstheme="minorBidi"/>
          <w:color w:val="000000" w:themeColor="text1"/>
        </w:rPr>
      </w:pPr>
    </w:p>
    <w:p w14:paraId="34DA1E9B" w14:textId="2ED4EFA9" w:rsidR="00FF4005" w:rsidRDefault="00FF4005" w:rsidP="00C81F39">
      <w:pPr>
        <w:pStyle w:val="Default"/>
        <w:spacing w:after="120"/>
        <w:ind w:left="720"/>
        <w:rPr>
          <w:rFonts w:asciiTheme="minorHAnsi" w:eastAsiaTheme="minorEastAsia" w:hAnsiTheme="minorHAnsi" w:cstheme="minorBidi"/>
          <w:color w:val="000000" w:themeColor="text1"/>
        </w:rPr>
      </w:pPr>
    </w:p>
    <w:p w14:paraId="39FAE795" w14:textId="6A1D023E" w:rsidR="00FF4005" w:rsidRDefault="00FF4005" w:rsidP="00C81F39">
      <w:pPr>
        <w:pStyle w:val="Default"/>
        <w:spacing w:after="120"/>
        <w:ind w:left="720"/>
        <w:rPr>
          <w:rFonts w:asciiTheme="minorHAnsi" w:eastAsiaTheme="minorEastAsia" w:hAnsiTheme="minorHAnsi" w:cstheme="minorBidi"/>
          <w:color w:val="000000" w:themeColor="text1"/>
        </w:rPr>
      </w:pPr>
    </w:p>
    <w:p w14:paraId="4F9C7CBF" w14:textId="50CAE32F" w:rsidR="001E1F60" w:rsidRPr="00B0328A" w:rsidRDefault="001E1F60" w:rsidP="00984510">
      <w:pPr>
        <w:pStyle w:val="Default"/>
        <w:numPr>
          <w:ilvl w:val="1"/>
          <w:numId w:val="26"/>
        </w:numPr>
        <w:spacing w:after="120"/>
        <w:rPr>
          <w:rFonts w:ascii="Arial" w:eastAsia="Arial" w:hAnsi="Arial" w:cs="Arial"/>
        </w:rPr>
      </w:pPr>
      <w:r w:rsidRPr="00B0328A">
        <w:rPr>
          <w:rFonts w:ascii="Arial" w:eastAsia="Arial" w:hAnsi="Arial" w:cs="Arial"/>
          <w:color w:val="000000" w:themeColor="text1"/>
        </w:rPr>
        <w:lastRenderedPageBreak/>
        <w:t xml:space="preserve">We are </w:t>
      </w:r>
      <w:r w:rsidR="007F1F93" w:rsidRPr="00B0328A">
        <w:rPr>
          <w:rFonts w:ascii="Arial" w:eastAsia="Arial" w:hAnsi="Arial" w:cs="Arial"/>
          <w:color w:val="000000" w:themeColor="text1"/>
        </w:rPr>
        <w:t>seeking</w:t>
      </w:r>
      <w:r w:rsidRPr="00B0328A">
        <w:rPr>
          <w:rFonts w:ascii="Arial" w:eastAsia="Arial" w:hAnsi="Arial" w:cs="Arial"/>
          <w:color w:val="000000" w:themeColor="text1"/>
        </w:rPr>
        <w:t xml:space="preserve"> views on the percentage </w:t>
      </w:r>
      <w:r w:rsidR="001C1A52" w:rsidRPr="00B0328A">
        <w:rPr>
          <w:rFonts w:ascii="Arial" w:eastAsia="Arial" w:hAnsi="Arial" w:cs="Arial"/>
          <w:color w:val="000000" w:themeColor="text1"/>
        </w:rPr>
        <w:t>proposed</w:t>
      </w:r>
      <w:r w:rsidRPr="00B0328A">
        <w:rPr>
          <w:rFonts w:ascii="Arial" w:eastAsia="Arial" w:hAnsi="Arial" w:cs="Arial"/>
          <w:color w:val="000000" w:themeColor="text1"/>
        </w:rPr>
        <w:t xml:space="preserve"> </w:t>
      </w:r>
      <w:r w:rsidR="00542007" w:rsidRPr="00B0328A">
        <w:rPr>
          <w:rFonts w:ascii="Arial" w:eastAsia="Arial" w:hAnsi="Arial" w:cs="Arial"/>
          <w:color w:val="000000" w:themeColor="text1"/>
        </w:rPr>
        <w:t>for</w:t>
      </w:r>
      <w:r w:rsidRPr="00B0328A">
        <w:rPr>
          <w:rFonts w:ascii="Arial" w:eastAsia="Arial" w:hAnsi="Arial" w:cs="Arial"/>
          <w:color w:val="000000" w:themeColor="text1"/>
        </w:rPr>
        <w:t xml:space="preserve"> transitional arrangements, recognising the need to balance accurately allocating funding to the most acute pressures whilst also ensuring service delivery sustainability. While not introducing transitional arrangements would allow for the most accurate reflection of need in our funding model, it is also important to ensure any changes to funding year-on-year are sustainable and </w:t>
      </w:r>
      <w:r w:rsidR="7989313A" w:rsidRPr="6292D39A">
        <w:rPr>
          <w:rFonts w:ascii="Arial" w:eastAsia="Arial" w:hAnsi="Arial" w:cs="Arial"/>
          <w:color w:val="000000" w:themeColor="text1"/>
        </w:rPr>
        <w:t>any impacts on service delivery are minimised.</w:t>
      </w:r>
      <w:r w:rsidRPr="00B0328A">
        <w:rPr>
          <w:rFonts w:ascii="Arial" w:eastAsia="Arial" w:hAnsi="Arial" w:cs="Arial"/>
          <w:color w:val="000000" w:themeColor="text1"/>
        </w:rPr>
        <w:t xml:space="preserve"> A larger cap would carry an increased risk of jeopardising sustained service delivery and infrastructure in some LAs if there are </w:t>
      </w:r>
      <w:r w:rsidR="004D5305">
        <w:rPr>
          <w:rFonts w:ascii="Arial" w:eastAsia="Arial" w:hAnsi="Arial" w:cs="Arial"/>
          <w:color w:val="000000" w:themeColor="text1"/>
        </w:rPr>
        <w:t xml:space="preserve">sudden </w:t>
      </w:r>
      <w:r w:rsidR="007D3407" w:rsidRPr="00B0328A">
        <w:rPr>
          <w:rFonts w:ascii="Arial" w:eastAsia="Arial" w:hAnsi="Arial" w:cs="Arial"/>
          <w:color w:val="000000" w:themeColor="text1"/>
        </w:rPr>
        <w:t>notable</w:t>
      </w:r>
      <w:r w:rsidRPr="00B0328A">
        <w:rPr>
          <w:rFonts w:ascii="Arial" w:eastAsia="Arial" w:hAnsi="Arial" w:cs="Arial"/>
          <w:color w:val="000000" w:themeColor="text1"/>
        </w:rPr>
        <w:t xml:space="preserve"> reductions in funding.</w:t>
      </w:r>
    </w:p>
    <w:p w14:paraId="2F016E2F" w14:textId="2195A0DA" w:rsidR="001E1F60" w:rsidRPr="00027C0B" w:rsidRDefault="00303F3E" w:rsidP="00725581">
      <w:pPr>
        <w:spacing w:after="120"/>
        <w:rPr>
          <w:rFonts w:eastAsia="Arial" w:cs="Arial"/>
          <w:b/>
          <w:bCs/>
          <w:color w:val="000000" w:themeColor="text1"/>
        </w:rPr>
      </w:pPr>
      <w:r>
        <w:rPr>
          <w:rFonts w:eastAsia="Arial" w:cs="Arial"/>
          <w:b/>
          <w:bCs/>
          <w:color w:val="000000" w:themeColor="text1"/>
        </w:rPr>
        <w:t>Q8</w:t>
      </w:r>
      <w:r w:rsidR="00027C0B">
        <w:rPr>
          <w:rFonts w:eastAsia="Arial" w:cs="Arial"/>
          <w:b/>
          <w:bCs/>
          <w:color w:val="000000" w:themeColor="text1"/>
        </w:rPr>
        <w:t>.</w:t>
      </w:r>
      <w:r w:rsidR="001E1F60" w:rsidRPr="007D3407">
        <w:rPr>
          <w:rFonts w:eastAsia="Arial" w:cs="Arial"/>
          <w:color w:val="000000" w:themeColor="text1"/>
        </w:rPr>
        <w:t xml:space="preserve"> </w:t>
      </w:r>
      <w:r w:rsidR="001E1F60" w:rsidRPr="00027C0B">
        <w:rPr>
          <w:rFonts w:eastAsia="Arial" w:cs="Arial"/>
          <w:b/>
          <w:bCs/>
          <w:color w:val="000000" w:themeColor="text1"/>
        </w:rPr>
        <w:t xml:space="preserve">Do you want to see transitional arrangements introduced for 23/24 </w:t>
      </w:r>
      <w:r w:rsidR="0016354C">
        <w:rPr>
          <w:rFonts w:eastAsia="Arial" w:cs="Arial"/>
          <w:b/>
          <w:bCs/>
          <w:color w:val="000000" w:themeColor="text1"/>
        </w:rPr>
        <w:t>financial year</w:t>
      </w:r>
      <w:r w:rsidR="001E1F60" w:rsidRPr="00027C0B">
        <w:rPr>
          <w:rFonts w:eastAsia="Arial" w:cs="Arial"/>
          <w:b/>
          <w:bCs/>
          <w:color w:val="000000" w:themeColor="text1"/>
        </w:rPr>
        <w:t xml:space="preserve">? (Yes – No – </w:t>
      </w:r>
      <w:r w:rsidR="00367220">
        <w:rPr>
          <w:rFonts w:eastAsia="Arial" w:cs="Arial"/>
          <w:b/>
          <w:bCs/>
          <w:color w:val="000000" w:themeColor="text1"/>
        </w:rPr>
        <w:t xml:space="preserve">Indifferent - </w:t>
      </w:r>
      <w:r w:rsidR="00A72C56">
        <w:rPr>
          <w:rFonts w:eastAsia="Arial" w:cs="Arial"/>
          <w:b/>
          <w:bCs/>
          <w:color w:val="000000" w:themeColor="text1"/>
        </w:rPr>
        <w:t>Not sure</w:t>
      </w:r>
      <w:r w:rsidR="001E1F60" w:rsidRPr="00027C0B">
        <w:rPr>
          <w:rFonts w:eastAsia="Arial" w:cs="Arial"/>
          <w:b/>
          <w:bCs/>
          <w:color w:val="000000" w:themeColor="text1"/>
        </w:rPr>
        <w:t>)</w:t>
      </w:r>
    </w:p>
    <w:p w14:paraId="64ECC2B6" w14:textId="7EB198D5" w:rsidR="001E1F60" w:rsidRPr="00027C0B" w:rsidRDefault="00027C0B" w:rsidP="00725581">
      <w:pPr>
        <w:spacing w:after="120"/>
        <w:rPr>
          <w:rFonts w:eastAsia="Arial" w:cs="Arial"/>
          <w:b/>
          <w:bCs/>
          <w:color w:val="000000" w:themeColor="text1"/>
        </w:rPr>
      </w:pPr>
      <w:r w:rsidRPr="00027C0B">
        <w:rPr>
          <w:rFonts w:eastAsia="Arial" w:cs="Arial"/>
          <w:b/>
          <w:bCs/>
          <w:color w:val="000000" w:themeColor="text1"/>
        </w:rPr>
        <w:t>Q</w:t>
      </w:r>
      <w:r w:rsidR="00303F3E">
        <w:rPr>
          <w:rFonts w:eastAsia="Arial" w:cs="Arial"/>
          <w:b/>
          <w:bCs/>
          <w:color w:val="000000" w:themeColor="text1"/>
        </w:rPr>
        <w:t>9</w:t>
      </w:r>
      <w:r w:rsidR="001E1F60" w:rsidRPr="00027C0B">
        <w:rPr>
          <w:rFonts w:eastAsia="Arial" w:cs="Arial"/>
          <w:b/>
          <w:bCs/>
          <w:color w:val="000000" w:themeColor="text1"/>
        </w:rPr>
        <w:t xml:space="preserve">. Do you want to see transitional arrangements introduced for 24/25 </w:t>
      </w:r>
      <w:r w:rsidR="0016354C">
        <w:rPr>
          <w:rFonts w:eastAsia="Arial" w:cs="Arial"/>
          <w:b/>
          <w:bCs/>
          <w:color w:val="000000" w:themeColor="text1"/>
        </w:rPr>
        <w:t>financial year</w:t>
      </w:r>
      <w:r w:rsidR="001E1F60" w:rsidRPr="00027C0B">
        <w:rPr>
          <w:rFonts w:eastAsia="Arial" w:cs="Arial"/>
          <w:b/>
          <w:bCs/>
          <w:color w:val="000000" w:themeColor="text1"/>
        </w:rPr>
        <w:t xml:space="preserve">? (Yes – No </w:t>
      </w:r>
      <w:r w:rsidR="00A72C56">
        <w:rPr>
          <w:rFonts w:eastAsia="Arial" w:cs="Arial"/>
          <w:b/>
          <w:bCs/>
          <w:color w:val="000000" w:themeColor="text1"/>
        </w:rPr>
        <w:t>–</w:t>
      </w:r>
      <w:r w:rsidR="00367220">
        <w:rPr>
          <w:rFonts w:eastAsia="Arial" w:cs="Arial"/>
          <w:b/>
          <w:bCs/>
          <w:color w:val="000000" w:themeColor="text1"/>
        </w:rPr>
        <w:t xml:space="preserve"> Indifferent -</w:t>
      </w:r>
      <w:r w:rsidR="001E1F60" w:rsidRPr="00027C0B">
        <w:rPr>
          <w:rFonts w:eastAsia="Arial" w:cs="Arial"/>
          <w:b/>
          <w:bCs/>
          <w:color w:val="000000" w:themeColor="text1"/>
        </w:rPr>
        <w:t xml:space="preserve"> </w:t>
      </w:r>
      <w:r w:rsidR="00A72C56">
        <w:rPr>
          <w:rFonts w:eastAsia="Arial" w:cs="Arial"/>
          <w:b/>
          <w:bCs/>
          <w:color w:val="000000" w:themeColor="text1"/>
        </w:rPr>
        <w:t>Not sure</w:t>
      </w:r>
      <w:r w:rsidR="001E1F60" w:rsidRPr="00027C0B">
        <w:rPr>
          <w:rFonts w:eastAsia="Arial" w:cs="Arial"/>
          <w:b/>
          <w:bCs/>
          <w:color w:val="000000" w:themeColor="text1"/>
        </w:rPr>
        <w:t>)</w:t>
      </w:r>
    </w:p>
    <w:p w14:paraId="69F69E73" w14:textId="27D43FB6" w:rsidR="001E1F60" w:rsidRPr="00027C0B" w:rsidRDefault="00027C0B" w:rsidP="00725581">
      <w:pPr>
        <w:spacing w:after="120"/>
        <w:rPr>
          <w:rFonts w:eastAsia="Arial" w:cs="Arial"/>
          <w:b/>
          <w:bCs/>
          <w:color w:val="000000" w:themeColor="text1"/>
        </w:rPr>
      </w:pPr>
      <w:r w:rsidRPr="00027C0B">
        <w:rPr>
          <w:rFonts w:eastAsia="Arial" w:cs="Arial"/>
          <w:b/>
          <w:bCs/>
          <w:color w:val="000000" w:themeColor="text1"/>
        </w:rPr>
        <w:t>Q</w:t>
      </w:r>
      <w:r w:rsidR="00303F3E">
        <w:rPr>
          <w:rFonts w:eastAsia="Arial" w:cs="Arial"/>
          <w:b/>
          <w:bCs/>
          <w:color w:val="000000" w:themeColor="text1"/>
        </w:rPr>
        <w:t>10</w:t>
      </w:r>
      <w:r w:rsidR="001E1F60" w:rsidRPr="00027C0B">
        <w:rPr>
          <w:rFonts w:eastAsia="Arial" w:cs="Arial"/>
          <w:b/>
          <w:bCs/>
          <w:color w:val="000000" w:themeColor="text1"/>
        </w:rPr>
        <w:t xml:space="preserve">. What percentage cap would you </w:t>
      </w:r>
      <w:r w:rsidR="00ED7873" w:rsidRPr="00027C0B">
        <w:rPr>
          <w:rFonts w:eastAsia="Arial" w:cs="Arial"/>
          <w:b/>
          <w:bCs/>
          <w:color w:val="000000" w:themeColor="text1"/>
        </w:rPr>
        <w:t>prefer</w:t>
      </w:r>
      <w:r w:rsidR="001E1F60" w:rsidRPr="00027C0B">
        <w:rPr>
          <w:rFonts w:eastAsia="Arial" w:cs="Arial"/>
          <w:b/>
          <w:bCs/>
          <w:color w:val="000000" w:themeColor="text1"/>
        </w:rPr>
        <w:t xml:space="preserve"> to see?</w:t>
      </w:r>
      <w:r w:rsidR="00BF0F07">
        <w:rPr>
          <w:rFonts w:eastAsia="Arial" w:cs="Arial"/>
          <w:b/>
          <w:bCs/>
          <w:color w:val="000000" w:themeColor="text1"/>
        </w:rPr>
        <w:t xml:space="preserve"> </w:t>
      </w:r>
      <w:r w:rsidR="0048012F">
        <w:rPr>
          <w:rFonts w:eastAsia="Arial" w:cs="Arial"/>
          <w:b/>
          <w:bCs/>
          <w:color w:val="000000" w:themeColor="text1"/>
        </w:rPr>
        <w:t>(</w:t>
      </w:r>
      <w:r w:rsidR="007C63F7" w:rsidRPr="007C63F7">
        <w:rPr>
          <w:rFonts w:eastAsia="Arial" w:cs="Arial"/>
          <w:b/>
          <w:bCs/>
          <w:color w:val="000000" w:themeColor="text1"/>
        </w:rPr>
        <w:t>5% in 23</w:t>
      </w:r>
      <w:r w:rsidR="0016354C">
        <w:rPr>
          <w:rFonts w:eastAsia="Arial" w:cs="Arial"/>
          <w:b/>
          <w:bCs/>
          <w:color w:val="000000" w:themeColor="text1"/>
        </w:rPr>
        <w:t>/</w:t>
      </w:r>
      <w:r w:rsidR="007C63F7" w:rsidRPr="007C63F7">
        <w:rPr>
          <w:rFonts w:eastAsia="Arial" w:cs="Arial"/>
          <w:b/>
          <w:bCs/>
          <w:color w:val="000000" w:themeColor="text1"/>
        </w:rPr>
        <w:t xml:space="preserve">24 and 10% in 24/25 as proposed – 2% </w:t>
      </w:r>
      <w:r w:rsidR="00C744FF">
        <w:rPr>
          <w:rFonts w:eastAsia="Arial" w:cs="Arial"/>
          <w:b/>
          <w:bCs/>
          <w:color w:val="000000" w:themeColor="text1"/>
        </w:rPr>
        <w:t>each</w:t>
      </w:r>
      <w:r w:rsidR="007C63F7" w:rsidRPr="007C63F7">
        <w:rPr>
          <w:rFonts w:eastAsia="Arial" w:cs="Arial"/>
          <w:b/>
          <w:bCs/>
          <w:color w:val="000000" w:themeColor="text1"/>
        </w:rPr>
        <w:t xml:space="preserve"> year - 5% each year - 10% each year – 20% each year – None - Indifferent - Other - Not sure</w:t>
      </w:r>
      <w:r w:rsidR="00BF0F07">
        <w:rPr>
          <w:rFonts w:eastAsia="Arial" w:cs="Arial"/>
          <w:b/>
          <w:bCs/>
          <w:color w:val="000000" w:themeColor="text1"/>
        </w:rPr>
        <w:t>)</w:t>
      </w:r>
    </w:p>
    <w:p w14:paraId="6E911454" w14:textId="052032A3" w:rsidR="004B7324" w:rsidRPr="00027C0B" w:rsidRDefault="00027C0B" w:rsidP="00231EB9">
      <w:pPr>
        <w:spacing w:after="240"/>
        <w:rPr>
          <w:rFonts w:eastAsia="Arial" w:cs="Arial"/>
          <w:b/>
          <w:bCs/>
          <w:color w:val="000000" w:themeColor="text1"/>
        </w:rPr>
      </w:pPr>
      <w:r w:rsidRPr="00027C0B">
        <w:rPr>
          <w:rFonts w:eastAsia="Arial" w:cs="Arial"/>
          <w:b/>
          <w:bCs/>
          <w:color w:val="000000" w:themeColor="text1"/>
        </w:rPr>
        <w:t>Q1</w:t>
      </w:r>
      <w:r w:rsidR="00303F3E">
        <w:rPr>
          <w:rFonts w:eastAsia="Arial" w:cs="Arial"/>
          <w:b/>
          <w:bCs/>
          <w:color w:val="000000" w:themeColor="text1"/>
        </w:rPr>
        <w:t>1</w:t>
      </w:r>
      <w:r w:rsidR="001E1F60" w:rsidRPr="00027C0B">
        <w:rPr>
          <w:rFonts w:eastAsia="Arial" w:cs="Arial"/>
          <w:b/>
          <w:bCs/>
          <w:color w:val="000000" w:themeColor="text1"/>
        </w:rPr>
        <w:t xml:space="preserve">. </w:t>
      </w:r>
      <w:r w:rsidR="00AC706A" w:rsidRPr="00AC706A">
        <w:rPr>
          <w:rStyle w:val="normaltextrun"/>
          <w:rFonts w:cs="Arial"/>
          <w:b/>
          <w:bCs/>
          <w:color w:val="000000"/>
          <w:shd w:val="clear" w:color="auto" w:fill="FFFFFF"/>
        </w:rPr>
        <w:t>Please explain the reasons for your answers to the questions in this chapter, and provide any other thoughts or comments on this proposal.</w:t>
      </w:r>
      <w:r w:rsidR="00AC706A">
        <w:rPr>
          <w:rStyle w:val="normaltextrun"/>
          <w:rFonts w:cs="Arial"/>
          <w:color w:val="000000"/>
          <w:shd w:val="clear" w:color="auto" w:fill="FFFFFF"/>
        </w:rPr>
        <w:t xml:space="preserve"> </w:t>
      </w:r>
      <w:r w:rsidR="001E1F60" w:rsidRPr="00027C0B">
        <w:rPr>
          <w:rFonts w:eastAsia="Arial" w:cs="Arial"/>
          <w:b/>
          <w:bCs/>
          <w:color w:val="000000" w:themeColor="text1"/>
        </w:rPr>
        <w:t>(</w:t>
      </w:r>
      <w:r w:rsidR="007D7B4A">
        <w:rPr>
          <w:rFonts w:eastAsia="Arial" w:cs="Arial"/>
          <w:b/>
          <w:bCs/>
          <w:color w:val="000000" w:themeColor="text1"/>
        </w:rPr>
        <w:t>5</w:t>
      </w:r>
      <w:r w:rsidR="001E1F60" w:rsidRPr="00027C0B">
        <w:rPr>
          <w:rFonts w:eastAsia="Arial" w:cs="Arial"/>
          <w:b/>
          <w:bCs/>
          <w:color w:val="000000" w:themeColor="text1"/>
        </w:rPr>
        <w:t>00 word limit)</w:t>
      </w:r>
    </w:p>
    <w:p w14:paraId="49205B0F" w14:textId="77777777" w:rsidR="00B07409" w:rsidRPr="000255D4" w:rsidRDefault="00B07409" w:rsidP="00ED79B0">
      <w:pPr>
        <w:spacing w:after="120" w:line="259" w:lineRule="auto"/>
        <w:rPr>
          <w:rFonts w:eastAsia="Arial" w:cs="Arial"/>
          <w:b/>
          <w:bCs/>
          <w:sz w:val="26"/>
          <w:szCs w:val="26"/>
        </w:rPr>
      </w:pPr>
      <w:r w:rsidRPr="000255D4">
        <w:rPr>
          <w:rFonts w:eastAsia="Arial" w:cs="Arial"/>
          <w:b/>
          <w:bCs/>
          <w:sz w:val="26"/>
          <w:szCs w:val="26"/>
        </w:rPr>
        <w:t>Announcement of 2023-24 and 2024-25 allocations</w:t>
      </w:r>
    </w:p>
    <w:p w14:paraId="2AF9C328" w14:textId="0F270C14" w:rsidR="00B07409" w:rsidRPr="00725581" w:rsidRDefault="00B07409" w:rsidP="008E2C64">
      <w:pPr>
        <w:pStyle w:val="ListParagraph"/>
        <w:numPr>
          <w:ilvl w:val="1"/>
          <w:numId w:val="26"/>
        </w:numPr>
        <w:spacing w:after="120" w:line="259" w:lineRule="auto"/>
        <w:contextualSpacing w:val="0"/>
        <w:rPr>
          <w:rFonts w:ascii="Arial" w:eastAsia="Arial" w:hAnsi="Arial"/>
        </w:rPr>
      </w:pPr>
      <w:r w:rsidRPr="00725581">
        <w:rPr>
          <w:rFonts w:ascii="Arial" w:eastAsia="Arial" w:hAnsi="Arial"/>
        </w:rPr>
        <w:t xml:space="preserve">In recent years, the Homelessness Prevention Grant has been announced on an annual basis. </w:t>
      </w:r>
      <w:r w:rsidRPr="00C48A6D">
        <w:rPr>
          <w:rFonts w:ascii="Arial" w:eastAsia="Arial" w:hAnsi="Arial"/>
        </w:rPr>
        <w:t>This has been in line with single year spending reviews and enabled us to adjust allocations each year to reflect changing circumstances, such as the uplift in 2021-22 to support the full enforcement of the Homelessness Reduction Act. We recognise though that this limits the ability of local authorities to plan services more strategically and commission specialist services</w:t>
      </w:r>
      <w:r w:rsidR="000255D4">
        <w:rPr>
          <w:rFonts w:ascii="Arial" w:eastAsia="Arial" w:hAnsi="Arial"/>
        </w:rPr>
        <w:t xml:space="preserve"> </w:t>
      </w:r>
      <w:r w:rsidRPr="00C48A6D">
        <w:rPr>
          <w:rFonts w:ascii="Arial" w:eastAsia="Arial" w:hAnsi="Arial"/>
        </w:rPr>
        <w:t>and can make it harder to recruit and retain staff. The</w:t>
      </w:r>
      <w:r w:rsidRPr="00725581">
        <w:rPr>
          <w:rFonts w:ascii="Arial" w:eastAsia="Arial" w:hAnsi="Arial"/>
        </w:rPr>
        <w:t xml:space="preserve"> most recent multi-year spending review </w:t>
      </w:r>
      <w:r w:rsidRPr="00C48A6D">
        <w:rPr>
          <w:rFonts w:ascii="Arial" w:eastAsia="Arial" w:hAnsi="Arial"/>
        </w:rPr>
        <w:t xml:space="preserve">provides </w:t>
      </w:r>
      <w:r w:rsidRPr="00725581">
        <w:rPr>
          <w:rFonts w:ascii="Arial" w:eastAsia="Arial" w:hAnsi="Arial"/>
        </w:rPr>
        <w:t xml:space="preserve">the option of announcing both the 2023-24 and 2024-25 allocations in late 2022. </w:t>
      </w:r>
      <w:r w:rsidRPr="69E8DEBC">
        <w:rPr>
          <w:rFonts w:ascii="Arial" w:eastAsia="Arial" w:hAnsi="Arial"/>
        </w:rPr>
        <w:t>We plan</w:t>
      </w:r>
      <w:r w:rsidRPr="00725581">
        <w:rPr>
          <w:rFonts w:ascii="Arial" w:eastAsia="Arial" w:hAnsi="Arial"/>
        </w:rPr>
        <w:t xml:space="preserve"> to do this</w:t>
      </w:r>
      <w:r w:rsidRPr="00725581">
        <w:rPr>
          <w:rFonts w:ascii="Arial" w:eastAsia="Arial" w:hAnsi="Arial"/>
          <w:color w:val="000000" w:themeColor="text1"/>
        </w:rPr>
        <w:t xml:space="preserve"> </w:t>
      </w:r>
      <w:r w:rsidRPr="00C48A6D">
        <w:rPr>
          <w:rFonts w:ascii="Arial" w:eastAsia="Arial" w:hAnsi="Arial"/>
          <w:color w:val="000000" w:themeColor="text1"/>
        </w:rPr>
        <w:t>to give early certainty</w:t>
      </w:r>
      <w:r w:rsidRPr="00725581">
        <w:rPr>
          <w:rFonts w:ascii="Arial" w:eastAsia="Arial" w:hAnsi="Arial"/>
        </w:rPr>
        <w:t xml:space="preserve"> to local authorities of their funding over the next 2 years to </w:t>
      </w:r>
      <w:r w:rsidRPr="00C48A6D">
        <w:rPr>
          <w:rFonts w:ascii="Arial" w:eastAsia="Arial" w:hAnsi="Arial"/>
        </w:rPr>
        <w:t xml:space="preserve">support them to </w:t>
      </w:r>
      <w:r w:rsidR="00F128B5" w:rsidRPr="00725581">
        <w:rPr>
          <w:rFonts w:ascii="Arial" w:eastAsia="Arial" w:hAnsi="Arial"/>
        </w:rPr>
        <w:t xml:space="preserve">plan and </w:t>
      </w:r>
      <w:r w:rsidRPr="00725581">
        <w:rPr>
          <w:rFonts w:ascii="Arial" w:eastAsia="Arial" w:hAnsi="Arial"/>
        </w:rPr>
        <w:t>deliver specialist services via the grant funding, as well as improve staff retention rates.</w:t>
      </w:r>
    </w:p>
    <w:p w14:paraId="4AC099B7" w14:textId="042FAE9E" w:rsidR="00B07409" w:rsidRPr="007D3407" w:rsidRDefault="00B07409" w:rsidP="00984510">
      <w:pPr>
        <w:pStyle w:val="ListParagraph"/>
        <w:numPr>
          <w:ilvl w:val="1"/>
          <w:numId w:val="26"/>
        </w:numPr>
        <w:spacing w:after="120" w:line="259" w:lineRule="auto"/>
        <w:contextualSpacing w:val="0"/>
        <w:rPr>
          <w:rFonts w:ascii="Arial" w:eastAsia="Arial" w:hAnsi="Arial"/>
          <w:color w:val="000000" w:themeColor="text1"/>
        </w:rPr>
      </w:pPr>
      <w:r w:rsidRPr="00C48A6D">
        <w:rPr>
          <w:rFonts w:ascii="Arial" w:eastAsia="Arial" w:hAnsi="Arial"/>
        </w:rPr>
        <w:t>This carries the</w:t>
      </w:r>
      <w:r w:rsidRPr="007D3407">
        <w:rPr>
          <w:rFonts w:ascii="Arial" w:eastAsia="Arial" w:hAnsi="Arial"/>
        </w:rPr>
        <w:t xml:space="preserve"> risk that</w:t>
      </w:r>
      <w:r w:rsidRPr="00C48A6D">
        <w:rPr>
          <w:rFonts w:ascii="Arial" w:eastAsia="Arial" w:hAnsi="Arial"/>
        </w:rPr>
        <w:t>,</w:t>
      </w:r>
      <w:r w:rsidRPr="007D3407">
        <w:rPr>
          <w:rFonts w:ascii="Arial" w:eastAsia="Arial" w:hAnsi="Arial"/>
        </w:rPr>
        <w:t xml:space="preserve"> if homelessness pressures shift significantly between 2023 and 2024, allocations for the 2024-25 financial year may not reflect the most up-to-date pressures.</w:t>
      </w:r>
      <w:r w:rsidRPr="00C48A6D">
        <w:rPr>
          <w:rFonts w:ascii="Arial" w:eastAsia="Arial" w:hAnsi="Arial"/>
        </w:rPr>
        <w:t xml:space="preserve"> Alternatively, the allocations could be announced on a single year basis. </w:t>
      </w:r>
    </w:p>
    <w:p w14:paraId="4574FC4E" w14:textId="6858375E" w:rsidR="00C462AE" w:rsidRPr="00DE7458" w:rsidRDefault="00027C0B" w:rsidP="00027C0B">
      <w:pPr>
        <w:spacing w:after="160" w:line="259" w:lineRule="auto"/>
        <w:rPr>
          <w:rFonts w:eastAsia="Arial"/>
          <w:b/>
          <w:bCs/>
          <w:color w:val="000000" w:themeColor="text1"/>
        </w:rPr>
      </w:pPr>
      <w:r w:rsidRPr="00DE7458">
        <w:rPr>
          <w:rFonts w:eastAsia="Arial"/>
          <w:b/>
          <w:bCs/>
          <w:color w:val="000000" w:themeColor="text1"/>
        </w:rPr>
        <w:t>Q1</w:t>
      </w:r>
      <w:r w:rsidR="00303F3E">
        <w:rPr>
          <w:rFonts w:eastAsia="Arial"/>
          <w:b/>
          <w:bCs/>
          <w:color w:val="000000" w:themeColor="text1"/>
        </w:rPr>
        <w:t>2</w:t>
      </w:r>
      <w:r w:rsidRPr="00DE7458">
        <w:rPr>
          <w:rFonts w:eastAsia="Arial"/>
          <w:b/>
          <w:bCs/>
          <w:color w:val="000000" w:themeColor="text1"/>
        </w:rPr>
        <w:t xml:space="preserve">. </w:t>
      </w:r>
      <w:r w:rsidR="00B07409" w:rsidRPr="00DE7458">
        <w:rPr>
          <w:rFonts w:eastAsia="Arial"/>
          <w:b/>
          <w:bCs/>
          <w:color w:val="000000" w:themeColor="text1"/>
        </w:rPr>
        <w:t xml:space="preserve">Do you agree </w:t>
      </w:r>
      <w:r w:rsidR="00845322" w:rsidRPr="00DE7458">
        <w:rPr>
          <w:rFonts w:eastAsia="Arial"/>
          <w:b/>
          <w:bCs/>
          <w:color w:val="000000" w:themeColor="text1"/>
        </w:rPr>
        <w:t xml:space="preserve">that funding </w:t>
      </w:r>
      <w:r w:rsidR="00B07409" w:rsidRPr="00DE7458">
        <w:rPr>
          <w:rFonts w:eastAsia="Arial"/>
          <w:b/>
          <w:bCs/>
          <w:color w:val="000000" w:themeColor="text1"/>
        </w:rPr>
        <w:t>allocations for 2023-24 and 202</w:t>
      </w:r>
      <w:r w:rsidR="0048012F">
        <w:rPr>
          <w:rFonts w:eastAsia="Arial"/>
          <w:b/>
          <w:bCs/>
          <w:color w:val="000000" w:themeColor="text1"/>
        </w:rPr>
        <w:t>4</w:t>
      </w:r>
      <w:r w:rsidR="00B07409" w:rsidRPr="00DE7458">
        <w:rPr>
          <w:rFonts w:eastAsia="Arial"/>
          <w:b/>
          <w:bCs/>
          <w:color w:val="000000" w:themeColor="text1"/>
        </w:rPr>
        <w:t>-25 should be announced this year</w:t>
      </w:r>
      <w:r w:rsidR="007D7B4A">
        <w:rPr>
          <w:rFonts w:eastAsia="Arial"/>
          <w:b/>
          <w:bCs/>
          <w:color w:val="000000" w:themeColor="text1"/>
        </w:rPr>
        <w:t xml:space="preserve">, </w:t>
      </w:r>
      <w:r w:rsidR="00B07409" w:rsidRPr="00DE7458">
        <w:rPr>
          <w:rFonts w:eastAsia="Arial"/>
          <w:b/>
          <w:bCs/>
          <w:color w:val="000000" w:themeColor="text1"/>
        </w:rPr>
        <w:t>providing the earliest funding certainty possible</w:t>
      </w:r>
      <w:r w:rsidR="007D7B4A">
        <w:rPr>
          <w:rFonts w:eastAsia="Arial"/>
          <w:b/>
          <w:bCs/>
          <w:color w:val="000000" w:themeColor="text1"/>
        </w:rPr>
        <w:t xml:space="preserve">? </w:t>
      </w:r>
      <w:r w:rsidR="00B07409" w:rsidRPr="00DE7458">
        <w:rPr>
          <w:rFonts w:eastAsia="Arial"/>
          <w:b/>
          <w:bCs/>
          <w:color w:val="000000" w:themeColor="text1"/>
        </w:rPr>
        <w:t xml:space="preserve">(Yes – No – </w:t>
      </w:r>
      <w:r w:rsidR="00367220">
        <w:rPr>
          <w:rFonts w:eastAsia="Arial"/>
          <w:b/>
          <w:bCs/>
          <w:color w:val="000000" w:themeColor="text1"/>
        </w:rPr>
        <w:t xml:space="preserve">Indifferent - </w:t>
      </w:r>
      <w:r w:rsidR="00B07409" w:rsidRPr="00DE7458">
        <w:rPr>
          <w:rFonts w:eastAsia="Arial"/>
          <w:b/>
          <w:bCs/>
          <w:color w:val="000000" w:themeColor="text1"/>
        </w:rPr>
        <w:t>Not sure)</w:t>
      </w:r>
      <w:r w:rsidR="00936F63">
        <w:rPr>
          <w:rFonts w:eastAsia="Arial"/>
          <w:b/>
          <w:bCs/>
          <w:color w:val="000000" w:themeColor="text1"/>
        </w:rPr>
        <w:t xml:space="preserve"> </w:t>
      </w:r>
      <w:r w:rsidR="007D7B4A">
        <w:rPr>
          <w:rFonts w:eastAsia="Arial"/>
          <w:b/>
          <w:bCs/>
          <w:color w:val="000000" w:themeColor="text1"/>
        </w:rPr>
        <w:t xml:space="preserve">Please explain why. </w:t>
      </w:r>
      <w:r w:rsidR="00936F63">
        <w:rPr>
          <w:rFonts w:eastAsia="Arial"/>
          <w:b/>
          <w:bCs/>
          <w:color w:val="000000" w:themeColor="text1"/>
        </w:rPr>
        <w:t>(</w:t>
      </w:r>
      <w:r w:rsidR="00891A0F">
        <w:rPr>
          <w:rFonts w:eastAsia="Arial"/>
          <w:b/>
          <w:bCs/>
          <w:color w:val="000000" w:themeColor="text1"/>
        </w:rPr>
        <w:t>300 word limit)</w:t>
      </w:r>
    </w:p>
    <w:p w14:paraId="176920AE" w14:textId="77777777" w:rsidR="001E1F60" w:rsidRPr="00DE7458" w:rsidRDefault="001E1F60" w:rsidP="001E1F60">
      <w:pPr>
        <w:rPr>
          <w:rFonts w:eastAsia="Arial" w:cs="Arial"/>
          <w:color w:val="000000" w:themeColor="text1"/>
        </w:rPr>
      </w:pPr>
    </w:p>
    <w:p w14:paraId="230D883D" w14:textId="14690A01" w:rsidR="001E1F60" w:rsidRPr="00DE7458" w:rsidRDefault="001E1F60" w:rsidP="001E1F60">
      <w:pPr>
        <w:pStyle w:val="Heading2"/>
      </w:pPr>
      <w:r w:rsidRPr="00DE7458">
        <w:br w:type="page"/>
      </w:r>
    </w:p>
    <w:p w14:paraId="1CB18296" w14:textId="77EC5A52" w:rsidR="001E1F60" w:rsidRPr="0006037C" w:rsidRDefault="001E1F60" w:rsidP="00DC0608">
      <w:pPr>
        <w:pStyle w:val="ListParagraph"/>
        <w:numPr>
          <w:ilvl w:val="0"/>
          <w:numId w:val="26"/>
        </w:numPr>
        <w:spacing w:after="160" w:line="257" w:lineRule="auto"/>
        <w:rPr>
          <w:rFonts w:ascii="Arial" w:eastAsia="Arial" w:hAnsi="Arial"/>
          <w:u w:val="single"/>
        </w:rPr>
      </w:pPr>
      <w:r w:rsidRPr="0006037C">
        <w:rPr>
          <w:rFonts w:ascii="Arial" w:eastAsia="Arial" w:hAnsi="Arial"/>
          <w:sz w:val="36"/>
          <w:szCs w:val="36"/>
        </w:rPr>
        <w:lastRenderedPageBreak/>
        <w:t>Additional spend declaration: assigning spend to</w:t>
      </w:r>
      <w:r w:rsidR="00425B79">
        <w:rPr>
          <w:rFonts w:ascii="Arial" w:eastAsia="Arial" w:hAnsi="Arial"/>
          <w:sz w:val="36"/>
          <w:szCs w:val="36"/>
        </w:rPr>
        <w:t xml:space="preserve"> </w:t>
      </w:r>
      <w:r w:rsidRPr="00C48A6D">
        <w:rPr>
          <w:rFonts w:ascii="Arial" w:eastAsia="Arial" w:hAnsi="Arial"/>
          <w:sz w:val="36"/>
          <w:szCs w:val="36"/>
        </w:rPr>
        <w:t>categories</w:t>
      </w:r>
      <w:r w:rsidR="00425B79" w:rsidRPr="00C48A6D">
        <w:rPr>
          <w:rFonts w:ascii="Arial" w:eastAsia="Arial" w:hAnsi="Arial"/>
          <w:sz w:val="36"/>
          <w:szCs w:val="36"/>
        </w:rPr>
        <w:t xml:space="preserve"> </w:t>
      </w:r>
    </w:p>
    <w:p w14:paraId="60EB6D23" w14:textId="77777777" w:rsidR="001E1F60" w:rsidRPr="001E1F60" w:rsidRDefault="001E1F60" w:rsidP="001E1F60">
      <w:pPr>
        <w:spacing w:after="120"/>
        <w:rPr>
          <w:rFonts w:cs="Arial"/>
          <w:b/>
          <w:bCs/>
          <w:sz w:val="26"/>
          <w:szCs w:val="26"/>
        </w:rPr>
      </w:pPr>
      <w:r w:rsidRPr="001E1F60">
        <w:rPr>
          <w:rFonts w:cs="Arial"/>
          <w:b/>
          <w:bCs/>
          <w:sz w:val="26"/>
          <w:szCs w:val="26"/>
        </w:rPr>
        <w:t>Background: current spend reporting requirements</w:t>
      </w:r>
    </w:p>
    <w:p w14:paraId="6BFD25EF" w14:textId="77777777" w:rsidR="005E49AC" w:rsidRPr="005E49AC" w:rsidRDefault="001E1F60" w:rsidP="0023795F">
      <w:pPr>
        <w:pStyle w:val="ListParagraph"/>
        <w:numPr>
          <w:ilvl w:val="1"/>
          <w:numId w:val="26"/>
        </w:numPr>
        <w:spacing w:after="120" w:line="259" w:lineRule="auto"/>
        <w:contextualSpacing w:val="0"/>
        <w:rPr>
          <w:rFonts w:ascii="Arial" w:hAnsi="Arial"/>
        </w:rPr>
      </w:pPr>
      <w:r w:rsidRPr="005E49AC">
        <w:rPr>
          <w:rFonts w:ascii="Arial" w:hAnsi="Arial"/>
        </w:rPr>
        <w:t>At present, the Homelessness Prevention Grant can be spent flexibly by local authorities to meet their homelessness and rough sleeping objectives. The grant conditions require that the funding be spent in adherence with certain principles and requirements, including fully enforcing the Homelessness Reduction Act, maximising homelessness prevention, and ensuring the financial viability of services. At the end of the financial year, a declaration from the local authority must be submitted, confirming that the grant has been spent in line with these conditions.</w:t>
      </w:r>
    </w:p>
    <w:p w14:paraId="63B4783B" w14:textId="77777777" w:rsidR="005E49AC" w:rsidRPr="005E49AC" w:rsidRDefault="69395D24" w:rsidP="0023795F">
      <w:pPr>
        <w:pStyle w:val="ListParagraph"/>
        <w:numPr>
          <w:ilvl w:val="1"/>
          <w:numId w:val="26"/>
        </w:numPr>
        <w:spacing w:after="120" w:line="259" w:lineRule="auto"/>
        <w:contextualSpacing w:val="0"/>
        <w:rPr>
          <w:rFonts w:ascii="Arial" w:hAnsi="Arial"/>
        </w:rPr>
      </w:pPr>
      <w:r w:rsidRPr="4B34142A">
        <w:rPr>
          <w:rFonts w:ascii="Arial" w:hAnsi="Arial"/>
        </w:rPr>
        <w:t xml:space="preserve">Whilst this provides assurance that the grant is being used in line with the government’s wider homelessness and rough sleeping objectives, it does not give a comprehensive picture of how funding is spent by local authorities. We do not know, for example, how much of the grant is spent on TA, versus prevention or other spend. </w:t>
      </w:r>
    </w:p>
    <w:p w14:paraId="5D6DD10C" w14:textId="4151FF5D" w:rsidR="001E1F60" w:rsidRPr="005E49AC" w:rsidRDefault="001B02EA" w:rsidP="00C48A6D">
      <w:pPr>
        <w:pStyle w:val="ListParagraph"/>
        <w:numPr>
          <w:ilvl w:val="1"/>
          <w:numId w:val="26"/>
        </w:numPr>
        <w:spacing w:after="120" w:line="259" w:lineRule="auto"/>
        <w:rPr>
          <w:rFonts w:ascii="Arial" w:hAnsi="Arial"/>
        </w:rPr>
      </w:pPr>
      <w:r w:rsidRPr="005E49AC">
        <w:rPr>
          <w:rFonts w:ascii="Arial" w:hAnsi="Arial"/>
        </w:rPr>
        <w:t>Performance on homelessness prevention varies significantly across local authorities, even when comparing economically and demographically similar areas</w:t>
      </w:r>
      <w:r w:rsidR="00D5233B" w:rsidRPr="005E49AC">
        <w:rPr>
          <w:rFonts w:ascii="Arial" w:hAnsi="Arial"/>
        </w:rPr>
        <w:t>.</w:t>
      </w:r>
      <w:r w:rsidRPr="005E49AC">
        <w:rPr>
          <w:rFonts w:ascii="Arial" w:hAnsi="Arial"/>
        </w:rPr>
        <w:t xml:space="preserve"> This means that there are inconsistent outcomes for homeless households across the country, including between authorities with similar funding levels. Our lack of data on grant spend </w:t>
      </w:r>
      <w:r w:rsidR="001E1F60" w:rsidRPr="005E49AC">
        <w:rPr>
          <w:rFonts w:ascii="Arial" w:hAnsi="Arial"/>
        </w:rPr>
        <w:t xml:space="preserve">makes it more difficult to link interventions to homelessness outcomes and restricts shared learning across local authorities. It also prevents us from being able to fully understand how the current funding arrangements influence spending decisions at a local </w:t>
      </w:r>
      <w:r w:rsidR="00C732E7" w:rsidRPr="7053B3B7">
        <w:rPr>
          <w:rFonts w:ascii="Arial" w:hAnsi="Arial"/>
        </w:rPr>
        <w:t>level</w:t>
      </w:r>
      <w:r w:rsidR="001E1F60" w:rsidRPr="005E49AC">
        <w:rPr>
          <w:rFonts w:ascii="Arial" w:hAnsi="Arial"/>
        </w:rPr>
        <w:t>.</w:t>
      </w:r>
    </w:p>
    <w:p w14:paraId="58F9A16F" w14:textId="716A966B" w:rsidR="001E1F60" w:rsidRPr="005E49AC" w:rsidRDefault="008147EF" w:rsidP="00B55E3D">
      <w:pPr>
        <w:spacing w:after="120"/>
        <w:rPr>
          <w:rFonts w:cs="Arial"/>
          <w:b/>
          <w:bCs/>
          <w:sz w:val="26"/>
          <w:szCs w:val="26"/>
        </w:rPr>
      </w:pPr>
      <w:r w:rsidRPr="005E49AC">
        <w:rPr>
          <w:rFonts w:cs="Arial"/>
          <w:b/>
          <w:bCs/>
          <w:sz w:val="26"/>
          <w:szCs w:val="26"/>
        </w:rPr>
        <w:t xml:space="preserve">An </w:t>
      </w:r>
      <w:r w:rsidR="001E1F60" w:rsidRPr="005E49AC">
        <w:rPr>
          <w:rFonts w:cs="Arial"/>
          <w:b/>
          <w:bCs/>
          <w:sz w:val="26"/>
          <w:szCs w:val="26"/>
        </w:rPr>
        <w:t>additional requirement to report spend as ‘prevention</w:t>
      </w:r>
      <w:r w:rsidR="00B85C9A">
        <w:rPr>
          <w:rFonts w:cs="Arial"/>
          <w:b/>
          <w:bCs/>
          <w:sz w:val="26"/>
          <w:szCs w:val="26"/>
        </w:rPr>
        <w:t xml:space="preserve"> and relief</w:t>
      </w:r>
      <w:r w:rsidR="001E1F60" w:rsidRPr="005E49AC">
        <w:rPr>
          <w:rFonts w:cs="Arial"/>
          <w:b/>
          <w:bCs/>
          <w:sz w:val="26"/>
          <w:szCs w:val="26"/>
        </w:rPr>
        <w:t>’</w:t>
      </w:r>
      <w:r w:rsidR="00B55E3D" w:rsidRPr="005E49AC">
        <w:rPr>
          <w:rFonts w:cs="Arial"/>
          <w:b/>
          <w:bCs/>
          <w:sz w:val="26"/>
          <w:szCs w:val="26"/>
        </w:rPr>
        <w:t xml:space="preserve">, </w:t>
      </w:r>
      <w:r w:rsidR="001E1F60" w:rsidRPr="005E49AC">
        <w:rPr>
          <w:rFonts w:cs="Arial"/>
          <w:b/>
          <w:bCs/>
          <w:sz w:val="26"/>
          <w:szCs w:val="26"/>
        </w:rPr>
        <w:t>‘TA’</w:t>
      </w:r>
      <w:r w:rsidR="00B55E3D" w:rsidRPr="005E49AC">
        <w:rPr>
          <w:rFonts w:cs="Arial"/>
          <w:b/>
          <w:bCs/>
          <w:sz w:val="26"/>
          <w:szCs w:val="26"/>
        </w:rPr>
        <w:t xml:space="preserve"> or ‘</w:t>
      </w:r>
      <w:r w:rsidR="00B85C9A">
        <w:rPr>
          <w:rFonts w:cs="Arial"/>
          <w:b/>
          <w:bCs/>
          <w:sz w:val="26"/>
          <w:szCs w:val="26"/>
        </w:rPr>
        <w:t>main duty/</w:t>
      </w:r>
      <w:r w:rsidR="00B55E3D" w:rsidRPr="005E49AC">
        <w:rPr>
          <w:rFonts w:cs="Arial"/>
          <w:b/>
          <w:bCs/>
          <w:sz w:val="26"/>
          <w:szCs w:val="26"/>
        </w:rPr>
        <w:t>other’</w:t>
      </w:r>
    </w:p>
    <w:p w14:paraId="6D241EA7" w14:textId="6DD923A3" w:rsidR="00900185" w:rsidRDefault="001E1F60" w:rsidP="002D3588">
      <w:pPr>
        <w:pStyle w:val="ListParagraph"/>
        <w:numPr>
          <w:ilvl w:val="1"/>
          <w:numId w:val="26"/>
        </w:numPr>
        <w:spacing w:after="120" w:line="259" w:lineRule="auto"/>
        <w:contextualSpacing w:val="0"/>
        <w:rPr>
          <w:rFonts w:ascii="Arial" w:hAnsi="Arial"/>
        </w:rPr>
      </w:pPr>
      <w:r w:rsidRPr="53EF9F7E">
        <w:rPr>
          <w:rFonts w:ascii="Arial" w:hAnsi="Arial"/>
        </w:rPr>
        <w:t xml:space="preserve">In order to enhance overall understanding of how the </w:t>
      </w:r>
      <w:r w:rsidR="00B55E3D" w:rsidRPr="53EF9F7E">
        <w:rPr>
          <w:rFonts w:ascii="Arial" w:hAnsi="Arial"/>
        </w:rPr>
        <w:t>grant is used</w:t>
      </w:r>
      <w:r w:rsidRPr="53EF9F7E">
        <w:rPr>
          <w:rFonts w:ascii="Arial" w:hAnsi="Arial"/>
        </w:rPr>
        <w:t xml:space="preserve">, </w:t>
      </w:r>
      <w:r w:rsidR="00D5233B" w:rsidRPr="53EF9F7E">
        <w:rPr>
          <w:rFonts w:ascii="Arial" w:hAnsi="Arial"/>
        </w:rPr>
        <w:t xml:space="preserve">and to drive performance on prevention, </w:t>
      </w:r>
      <w:r w:rsidRPr="53EF9F7E">
        <w:rPr>
          <w:rFonts w:ascii="Arial" w:hAnsi="Arial"/>
        </w:rPr>
        <w:t xml:space="preserve">we are proposing to add a condition to the grant determination requiring local authorities to report the value of grant funding which has been spent within the categories of </w:t>
      </w:r>
      <w:r w:rsidRPr="53EF9F7E">
        <w:rPr>
          <w:rFonts w:ascii="Arial" w:hAnsi="Arial"/>
          <w:b/>
          <w:bCs/>
        </w:rPr>
        <w:t>‘prevention</w:t>
      </w:r>
      <w:r w:rsidR="000377F7" w:rsidRPr="53EF9F7E">
        <w:rPr>
          <w:rFonts w:ascii="Arial" w:hAnsi="Arial"/>
          <w:b/>
          <w:bCs/>
        </w:rPr>
        <w:t xml:space="preserve"> and relief</w:t>
      </w:r>
      <w:r w:rsidRPr="53EF9F7E">
        <w:rPr>
          <w:rFonts w:ascii="Arial" w:hAnsi="Arial"/>
          <w:b/>
          <w:bCs/>
        </w:rPr>
        <w:t>’</w:t>
      </w:r>
      <w:r w:rsidR="00B55E3D" w:rsidRPr="53EF9F7E">
        <w:rPr>
          <w:rFonts w:ascii="Arial" w:hAnsi="Arial"/>
        </w:rPr>
        <w:t xml:space="preserve">, </w:t>
      </w:r>
      <w:r w:rsidRPr="53EF9F7E">
        <w:rPr>
          <w:rFonts w:ascii="Arial" w:hAnsi="Arial"/>
          <w:b/>
          <w:bCs/>
        </w:rPr>
        <w:t>‘TA’</w:t>
      </w:r>
      <w:r w:rsidRPr="53EF9F7E">
        <w:rPr>
          <w:rFonts w:ascii="Arial" w:hAnsi="Arial"/>
        </w:rPr>
        <w:t xml:space="preserve"> </w:t>
      </w:r>
      <w:r w:rsidR="00B55E3D" w:rsidRPr="53EF9F7E">
        <w:rPr>
          <w:rFonts w:ascii="Arial" w:hAnsi="Arial"/>
        </w:rPr>
        <w:t xml:space="preserve">and </w:t>
      </w:r>
      <w:r w:rsidR="00B55E3D" w:rsidRPr="53EF9F7E">
        <w:rPr>
          <w:rFonts w:ascii="Arial" w:hAnsi="Arial"/>
          <w:b/>
          <w:bCs/>
        </w:rPr>
        <w:t>'</w:t>
      </w:r>
      <w:r w:rsidR="005F742B" w:rsidRPr="53EF9F7E">
        <w:rPr>
          <w:rFonts w:ascii="Arial" w:hAnsi="Arial"/>
          <w:b/>
          <w:bCs/>
        </w:rPr>
        <w:t>main duty/</w:t>
      </w:r>
      <w:r w:rsidR="00B55E3D" w:rsidRPr="53EF9F7E">
        <w:rPr>
          <w:rFonts w:ascii="Arial" w:hAnsi="Arial"/>
          <w:b/>
          <w:bCs/>
        </w:rPr>
        <w:t xml:space="preserve">other’ </w:t>
      </w:r>
      <w:r w:rsidR="00E35B0C" w:rsidRPr="53EF9F7E">
        <w:rPr>
          <w:rFonts w:ascii="Arial" w:hAnsi="Arial"/>
        </w:rPr>
        <w:t>at</w:t>
      </w:r>
      <w:r w:rsidRPr="53EF9F7E">
        <w:rPr>
          <w:rFonts w:ascii="Arial" w:hAnsi="Arial"/>
        </w:rPr>
        <w:t xml:space="preserve"> the end of the financial year</w:t>
      </w:r>
      <w:r w:rsidR="002F7C89" w:rsidRPr="53EF9F7E">
        <w:rPr>
          <w:rFonts w:ascii="Arial" w:hAnsi="Arial"/>
        </w:rPr>
        <w:t xml:space="preserve"> (as well as a forecast part way through the year)</w:t>
      </w:r>
      <w:r w:rsidRPr="53EF9F7E">
        <w:rPr>
          <w:rFonts w:ascii="Arial" w:hAnsi="Arial"/>
        </w:rPr>
        <w:t xml:space="preserve">. </w:t>
      </w:r>
      <w:r w:rsidR="00900185" w:rsidRPr="53EF9F7E">
        <w:rPr>
          <w:rFonts w:ascii="Arial" w:hAnsi="Arial"/>
        </w:rPr>
        <w:t>This will be purely an information gathering exercise and will not be used to influence any aspect of the allocation</w:t>
      </w:r>
      <w:r w:rsidR="00473953">
        <w:rPr>
          <w:rFonts w:ascii="Arial" w:hAnsi="Arial"/>
        </w:rPr>
        <w:t>s</w:t>
      </w:r>
      <w:r w:rsidR="00900185" w:rsidRPr="53EF9F7E">
        <w:rPr>
          <w:rFonts w:ascii="Arial" w:hAnsi="Arial"/>
        </w:rPr>
        <w:t xml:space="preserve"> </w:t>
      </w:r>
      <w:r w:rsidR="00B0361A" w:rsidRPr="53EF9F7E">
        <w:rPr>
          <w:rFonts w:ascii="Arial" w:hAnsi="Arial"/>
        </w:rPr>
        <w:t>formula</w:t>
      </w:r>
      <w:r w:rsidR="00900185" w:rsidRPr="53EF9F7E">
        <w:rPr>
          <w:rFonts w:ascii="Arial" w:hAnsi="Arial"/>
        </w:rPr>
        <w:t>.</w:t>
      </w:r>
    </w:p>
    <w:p w14:paraId="7BB304A0" w14:textId="62B11334" w:rsidR="001E1F60" w:rsidRPr="005E49AC" w:rsidRDefault="001E1F60" w:rsidP="002D3588">
      <w:pPr>
        <w:pStyle w:val="ListParagraph"/>
        <w:numPr>
          <w:ilvl w:val="1"/>
          <w:numId w:val="26"/>
        </w:numPr>
        <w:spacing w:after="120" w:line="259" w:lineRule="auto"/>
        <w:contextualSpacing w:val="0"/>
        <w:rPr>
          <w:rFonts w:ascii="Arial" w:hAnsi="Arial"/>
        </w:rPr>
      </w:pPr>
      <w:r w:rsidRPr="005E49AC">
        <w:rPr>
          <w:rFonts w:ascii="Arial" w:hAnsi="Arial"/>
        </w:rPr>
        <w:t>We have outlined what we believe constitutes prevention</w:t>
      </w:r>
      <w:r w:rsidR="005F742B">
        <w:rPr>
          <w:rFonts w:ascii="Arial" w:hAnsi="Arial"/>
        </w:rPr>
        <w:t xml:space="preserve"> and relief</w:t>
      </w:r>
      <w:r w:rsidRPr="005E49AC">
        <w:rPr>
          <w:rFonts w:ascii="Arial" w:hAnsi="Arial"/>
        </w:rPr>
        <w:t xml:space="preserve">, TA and </w:t>
      </w:r>
      <w:r w:rsidR="005F742B">
        <w:rPr>
          <w:rFonts w:ascii="Arial" w:hAnsi="Arial"/>
        </w:rPr>
        <w:t>main duty/</w:t>
      </w:r>
      <w:r w:rsidRPr="005E49AC">
        <w:rPr>
          <w:rFonts w:ascii="Arial" w:hAnsi="Arial"/>
        </w:rPr>
        <w:t>other spend below:</w:t>
      </w:r>
    </w:p>
    <w:tbl>
      <w:tblPr>
        <w:tblStyle w:val="GridTable4-Accent1"/>
        <w:tblW w:w="10774" w:type="dxa"/>
        <w:tblInd w:w="-714" w:type="dxa"/>
        <w:tblLayout w:type="fixed"/>
        <w:tblLook w:val="04A0" w:firstRow="1" w:lastRow="0" w:firstColumn="1" w:lastColumn="0" w:noHBand="0" w:noVBand="1"/>
      </w:tblPr>
      <w:tblGrid>
        <w:gridCol w:w="4111"/>
        <w:gridCol w:w="1701"/>
        <w:gridCol w:w="4962"/>
      </w:tblGrid>
      <w:tr w:rsidR="00B55E3D" w:rsidRPr="00DA4F66" w14:paraId="2E472FFE" w14:textId="77777777" w:rsidTr="0006037C">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111" w:type="dxa"/>
            <w:hideMark/>
          </w:tcPr>
          <w:p w14:paraId="37B97A33" w14:textId="1DDAE380" w:rsidR="001E1F60" w:rsidRPr="00B55E3D" w:rsidRDefault="001E1F60" w:rsidP="00287D93">
            <w:pPr>
              <w:textAlignment w:val="baseline"/>
              <w:rPr>
                <w:rFonts w:eastAsia="Times New Roman" w:cs="Arial"/>
                <w:b w:val="0"/>
                <w:bCs w:val="0"/>
                <w:i/>
                <w:iCs/>
                <w:sz w:val="22"/>
                <w:szCs w:val="22"/>
                <w:lang w:eastAsia="en-GB"/>
              </w:rPr>
            </w:pPr>
            <w:r w:rsidRPr="00B55E3D">
              <w:rPr>
                <w:rFonts w:eastAsia="Times New Roman" w:cs="Arial"/>
                <w:b w:val="0"/>
                <w:bCs w:val="0"/>
                <w:sz w:val="22"/>
                <w:szCs w:val="22"/>
                <w:u w:val="single"/>
                <w:lang w:eastAsia="en-GB"/>
              </w:rPr>
              <w:t>Prevention</w:t>
            </w:r>
            <w:r w:rsidR="004351B4">
              <w:rPr>
                <w:rFonts w:eastAsia="Times New Roman" w:cs="Arial"/>
                <w:b w:val="0"/>
                <w:bCs w:val="0"/>
                <w:sz w:val="22"/>
                <w:szCs w:val="22"/>
                <w:u w:val="single"/>
                <w:lang w:eastAsia="en-GB"/>
              </w:rPr>
              <w:t xml:space="preserve"> and relief</w:t>
            </w:r>
          </w:p>
        </w:tc>
        <w:tc>
          <w:tcPr>
            <w:tcW w:w="1701" w:type="dxa"/>
            <w:hideMark/>
          </w:tcPr>
          <w:p w14:paraId="2E58C156" w14:textId="4C10FA7E" w:rsidR="001E1F60" w:rsidRPr="00B55E3D" w:rsidRDefault="001E1F60" w:rsidP="00287D93">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2"/>
                <w:szCs w:val="22"/>
                <w:lang w:eastAsia="en-GB"/>
              </w:rPr>
            </w:pPr>
            <w:r w:rsidRPr="00B55E3D">
              <w:rPr>
                <w:rFonts w:eastAsia="Times New Roman" w:cs="Arial"/>
                <w:b w:val="0"/>
                <w:bCs w:val="0"/>
                <w:sz w:val="22"/>
                <w:szCs w:val="22"/>
                <w:u w:val="single"/>
                <w:lang w:eastAsia="en-GB"/>
              </w:rPr>
              <w:t>T</w:t>
            </w:r>
            <w:r w:rsidR="00B55E3D">
              <w:rPr>
                <w:rFonts w:eastAsia="Times New Roman" w:cs="Arial"/>
                <w:b w:val="0"/>
                <w:bCs w:val="0"/>
                <w:sz w:val="22"/>
                <w:szCs w:val="22"/>
                <w:u w:val="single"/>
                <w:lang w:eastAsia="en-GB"/>
              </w:rPr>
              <w:t>A</w:t>
            </w:r>
          </w:p>
        </w:tc>
        <w:tc>
          <w:tcPr>
            <w:tcW w:w="4962" w:type="dxa"/>
            <w:hideMark/>
          </w:tcPr>
          <w:p w14:paraId="2B992C5A" w14:textId="1BB6DA7B" w:rsidR="001E1F60" w:rsidRPr="00B55E3D" w:rsidRDefault="000377F7" w:rsidP="00287D93">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2"/>
                <w:szCs w:val="22"/>
                <w:lang w:eastAsia="en-GB"/>
              </w:rPr>
            </w:pPr>
            <w:r>
              <w:rPr>
                <w:rFonts w:eastAsia="Times New Roman" w:cs="Arial"/>
                <w:b w:val="0"/>
                <w:bCs w:val="0"/>
                <w:sz w:val="22"/>
                <w:szCs w:val="22"/>
                <w:u w:val="single"/>
                <w:lang w:eastAsia="en-GB"/>
              </w:rPr>
              <w:t>Main duty</w:t>
            </w:r>
            <w:r w:rsidR="00E40515">
              <w:rPr>
                <w:rFonts w:eastAsia="Times New Roman" w:cs="Arial"/>
                <w:b w:val="0"/>
                <w:bCs w:val="0"/>
                <w:sz w:val="22"/>
                <w:szCs w:val="22"/>
                <w:u w:val="single"/>
                <w:lang w:eastAsia="en-GB"/>
              </w:rPr>
              <w:t xml:space="preserve"> / </w:t>
            </w:r>
            <w:r>
              <w:rPr>
                <w:rFonts w:eastAsia="Times New Roman" w:cs="Arial"/>
                <w:b w:val="0"/>
                <w:bCs w:val="0"/>
                <w:sz w:val="22"/>
                <w:szCs w:val="22"/>
                <w:u w:val="single"/>
                <w:lang w:eastAsia="en-GB"/>
              </w:rPr>
              <w:t>o</w:t>
            </w:r>
            <w:r w:rsidR="001E1F60" w:rsidRPr="00B55E3D">
              <w:rPr>
                <w:rFonts w:eastAsia="Times New Roman" w:cs="Arial"/>
                <w:b w:val="0"/>
                <w:bCs w:val="0"/>
                <w:sz w:val="22"/>
                <w:szCs w:val="22"/>
                <w:u w:val="single"/>
                <w:lang w:eastAsia="en-GB"/>
              </w:rPr>
              <w:t>ther</w:t>
            </w:r>
          </w:p>
        </w:tc>
      </w:tr>
      <w:tr w:rsidR="00B55E3D" w:rsidRPr="00FA7A41" w14:paraId="624B4CD5" w14:textId="77777777" w:rsidTr="0006037C">
        <w:trPr>
          <w:cnfStyle w:val="000000100000" w:firstRow="0" w:lastRow="0" w:firstColumn="0" w:lastColumn="0" w:oddVBand="0" w:evenVBand="0" w:oddHBand="1" w:evenHBand="0" w:firstRowFirstColumn="0" w:firstRowLastColumn="0" w:lastRowFirstColumn="0" w:lastRowLastColumn="0"/>
          <w:trHeight w:val="38"/>
        </w:trPr>
        <w:tc>
          <w:tcPr>
            <w:cnfStyle w:val="001000000000" w:firstRow="0" w:lastRow="0" w:firstColumn="1" w:lastColumn="0" w:oddVBand="0" w:evenVBand="0" w:oddHBand="0" w:evenHBand="0" w:firstRowFirstColumn="0" w:firstRowLastColumn="0" w:lastRowFirstColumn="0" w:lastRowLastColumn="0"/>
            <w:tcW w:w="4111" w:type="dxa"/>
            <w:hideMark/>
          </w:tcPr>
          <w:p w14:paraId="7C08FF0F" w14:textId="77777777" w:rsidR="001E1F60" w:rsidRPr="00DA4F66" w:rsidRDefault="001E1F60" w:rsidP="00287D93">
            <w:pPr>
              <w:textAlignment w:val="baseline"/>
              <w:rPr>
                <w:rFonts w:eastAsia="Times New Roman" w:cs="Arial"/>
                <w:i/>
                <w:iCs/>
                <w:sz w:val="20"/>
                <w:szCs w:val="20"/>
                <w:lang w:eastAsia="en-GB"/>
              </w:rPr>
            </w:pPr>
            <w:r w:rsidRPr="00DA4F66">
              <w:rPr>
                <w:rFonts w:eastAsia="Times New Roman" w:cs="Arial"/>
                <w:sz w:val="20"/>
                <w:szCs w:val="20"/>
                <w:lang w:eastAsia="en-GB"/>
              </w:rPr>
              <w:t>Staffing</w:t>
            </w:r>
            <w:r w:rsidRPr="00DA4F66">
              <w:rPr>
                <w:rFonts w:eastAsia="Times New Roman" w:cs="Arial"/>
                <w:i/>
                <w:iCs/>
                <w:sz w:val="20"/>
                <w:szCs w:val="20"/>
                <w:lang w:eastAsia="en-GB"/>
              </w:rPr>
              <w:t> </w:t>
            </w:r>
          </w:p>
          <w:p w14:paraId="58F8773B" w14:textId="10866125" w:rsidR="004351B4" w:rsidRPr="004351B4" w:rsidRDefault="001E1F60" w:rsidP="004351B4">
            <w:pPr>
              <w:textAlignment w:val="baseline"/>
              <w:rPr>
                <w:rFonts w:eastAsia="Times New Roman" w:cs="Arial"/>
                <w:b w:val="0"/>
                <w:bCs w:val="0"/>
                <w:sz w:val="18"/>
                <w:szCs w:val="18"/>
                <w:lang w:eastAsia="en-GB"/>
              </w:rPr>
            </w:pPr>
            <w:r w:rsidRPr="004351B4">
              <w:rPr>
                <w:rFonts w:eastAsia="Times New Roman" w:cs="Arial"/>
                <w:b w:val="0"/>
                <w:bCs w:val="0"/>
                <w:sz w:val="18"/>
                <w:szCs w:val="18"/>
                <w:lang w:eastAsia="en-GB"/>
              </w:rPr>
              <w:t xml:space="preserve">- </w:t>
            </w:r>
            <w:r w:rsidR="004351B4" w:rsidRPr="004351B4">
              <w:rPr>
                <w:rFonts w:eastAsia="Times New Roman" w:cs="Arial"/>
                <w:b w:val="0"/>
                <w:bCs w:val="0"/>
                <w:sz w:val="18"/>
                <w:szCs w:val="18"/>
                <w:lang w:eastAsia="en-GB"/>
              </w:rPr>
              <w:t>Prevention and relief officers and management </w:t>
            </w:r>
          </w:p>
          <w:p w14:paraId="650B88EF" w14:textId="4656E841" w:rsidR="0069465E" w:rsidRDefault="001E1F60" w:rsidP="00287D93">
            <w:pPr>
              <w:textAlignment w:val="baseline"/>
              <w:rPr>
                <w:rFonts w:eastAsia="Times New Roman" w:cs="Arial"/>
                <w:sz w:val="18"/>
                <w:szCs w:val="18"/>
                <w:lang w:eastAsia="en-GB"/>
              </w:rPr>
            </w:pPr>
            <w:r>
              <w:rPr>
                <w:rFonts w:eastAsia="Times New Roman" w:cs="Arial"/>
                <w:b w:val="0"/>
                <w:bCs w:val="0"/>
                <w:sz w:val="18"/>
                <w:szCs w:val="18"/>
                <w:lang w:eastAsia="en-GB"/>
              </w:rPr>
              <w:t xml:space="preserve">- </w:t>
            </w:r>
            <w:r w:rsidR="0014766F">
              <w:rPr>
                <w:rFonts w:eastAsia="Times New Roman" w:cs="Arial"/>
                <w:b w:val="0"/>
                <w:bCs w:val="0"/>
                <w:sz w:val="18"/>
                <w:szCs w:val="18"/>
                <w:lang w:eastAsia="en-GB"/>
              </w:rPr>
              <w:t>Triage</w:t>
            </w:r>
            <w:r w:rsidR="0069465E">
              <w:rPr>
                <w:rFonts w:eastAsia="Times New Roman" w:cs="Arial"/>
                <w:b w:val="0"/>
                <w:bCs w:val="0"/>
                <w:sz w:val="18"/>
                <w:szCs w:val="18"/>
                <w:lang w:eastAsia="en-GB"/>
              </w:rPr>
              <w:t xml:space="preserve"> officers</w:t>
            </w:r>
          </w:p>
          <w:p w14:paraId="0F18D7AA" w14:textId="1AFECA8A" w:rsidR="00257222" w:rsidRDefault="00257222" w:rsidP="00287D93">
            <w:pPr>
              <w:textAlignment w:val="baseline"/>
              <w:rPr>
                <w:rFonts w:eastAsia="Times New Roman" w:cs="Arial"/>
                <w:sz w:val="18"/>
                <w:szCs w:val="18"/>
                <w:lang w:eastAsia="en-GB"/>
              </w:rPr>
            </w:pPr>
            <w:r>
              <w:rPr>
                <w:rFonts w:eastAsia="Times New Roman" w:cs="Arial"/>
                <w:b w:val="0"/>
                <w:bCs w:val="0"/>
                <w:sz w:val="18"/>
                <w:szCs w:val="18"/>
                <w:lang w:eastAsia="en-GB"/>
              </w:rPr>
              <w:t>- Link/liaison/partner (duty to refer) roles</w:t>
            </w:r>
          </w:p>
          <w:p w14:paraId="788B72CC" w14:textId="08C1DBB3" w:rsidR="001E1F60" w:rsidRPr="00DA4F66" w:rsidRDefault="0069465E" w:rsidP="00287D93">
            <w:pPr>
              <w:textAlignment w:val="baseline"/>
              <w:rPr>
                <w:rFonts w:eastAsia="Times New Roman" w:cs="Arial"/>
                <w:b w:val="0"/>
                <w:bCs w:val="0"/>
                <w:i/>
                <w:iCs/>
                <w:sz w:val="18"/>
                <w:szCs w:val="18"/>
                <w:lang w:eastAsia="en-GB"/>
              </w:rPr>
            </w:pPr>
            <w:r>
              <w:rPr>
                <w:rFonts w:eastAsia="Times New Roman" w:cs="Arial"/>
                <w:b w:val="0"/>
                <w:bCs w:val="0"/>
                <w:sz w:val="18"/>
                <w:szCs w:val="18"/>
                <w:lang w:eastAsia="en-GB"/>
              </w:rPr>
              <w:t xml:space="preserve">- </w:t>
            </w:r>
            <w:r w:rsidR="001E1F60" w:rsidRPr="00DA4F66">
              <w:rPr>
                <w:rFonts w:eastAsia="Times New Roman" w:cs="Arial"/>
                <w:b w:val="0"/>
                <w:bCs w:val="0"/>
                <w:sz w:val="18"/>
                <w:szCs w:val="18"/>
                <w:lang w:eastAsia="en-GB"/>
              </w:rPr>
              <w:t>Tenancy sustainment staff </w:t>
            </w:r>
            <w:r w:rsidR="001E1F60" w:rsidRPr="00DA4F66">
              <w:rPr>
                <w:rFonts w:eastAsia="Times New Roman" w:cs="Arial"/>
                <w:b w:val="0"/>
                <w:bCs w:val="0"/>
                <w:i/>
                <w:iCs/>
                <w:sz w:val="18"/>
                <w:szCs w:val="18"/>
                <w:lang w:eastAsia="en-GB"/>
              </w:rPr>
              <w:t> </w:t>
            </w:r>
          </w:p>
          <w:p w14:paraId="17F78C5B" w14:textId="3AACFAFE" w:rsidR="001E1F60" w:rsidRDefault="001E1F60" w:rsidP="00D51B95">
            <w:pPr>
              <w:textAlignment w:val="baseline"/>
              <w:rPr>
                <w:rFonts w:eastAsia="Times New Roman" w:cs="Arial"/>
                <w:i/>
                <w:iCs/>
                <w:sz w:val="18"/>
                <w:szCs w:val="18"/>
                <w:lang w:eastAsia="en-GB"/>
              </w:rPr>
            </w:pPr>
            <w:r>
              <w:rPr>
                <w:rFonts w:eastAsia="Times New Roman" w:cs="Arial"/>
                <w:b w:val="0"/>
                <w:bCs w:val="0"/>
                <w:sz w:val="18"/>
                <w:szCs w:val="18"/>
                <w:lang w:eastAsia="en-GB"/>
              </w:rPr>
              <w:t xml:space="preserve">- </w:t>
            </w:r>
            <w:r w:rsidRPr="00DA4F66">
              <w:rPr>
                <w:rFonts w:eastAsia="Times New Roman" w:cs="Arial"/>
                <w:b w:val="0"/>
                <w:bCs w:val="0"/>
                <w:sz w:val="18"/>
                <w:szCs w:val="18"/>
                <w:lang w:eastAsia="en-GB"/>
              </w:rPr>
              <w:t>Housing advice staff</w:t>
            </w:r>
          </w:p>
          <w:p w14:paraId="1925A3EA" w14:textId="77777777" w:rsidR="00D51B95" w:rsidRPr="00DA4F66" w:rsidRDefault="00D51B95" w:rsidP="00D51B95">
            <w:pPr>
              <w:textAlignment w:val="baseline"/>
              <w:rPr>
                <w:rFonts w:eastAsia="Times New Roman" w:cs="Arial"/>
                <w:b w:val="0"/>
                <w:bCs w:val="0"/>
                <w:i/>
                <w:iCs/>
                <w:sz w:val="18"/>
                <w:szCs w:val="18"/>
                <w:lang w:eastAsia="en-GB"/>
              </w:rPr>
            </w:pPr>
          </w:p>
          <w:p w14:paraId="0ED04798" w14:textId="3C65749C" w:rsidR="001E1F60" w:rsidRPr="00DA4F66" w:rsidRDefault="001E1F60" w:rsidP="00287D93">
            <w:pPr>
              <w:textAlignment w:val="baseline"/>
              <w:rPr>
                <w:rFonts w:eastAsia="Times New Roman" w:cs="Arial"/>
                <w:i/>
                <w:iCs/>
                <w:sz w:val="20"/>
                <w:szCs w:val="20"/>
                <w:lang w:eastAsia="en-GB"/>
              </w:rPr>
            </w:pPr>
            <w:r w:rsidRPr="00DA4F66">
              <w:rPr>
                <w:rFonts w:eastAsia="Times New Roman" w:cs="Arial"/>
                <w:sz w:val="20"/>
                <w:szCs w:val="20"/>
                <w:lang w:eastAsia="en-GB"/>
              </w:rPr>
              <w:t>Incentive schemes</w:t>
            </w:r>
          </w:p>
          <w:p w14:paraId="67573F19" w14:textId="77777777" w:rsidR="001E1F60" w:rsidRPr="00DA4F66" w:rsidRDefault="001E1F60" w:rsidP="00287D93">
            <w:pPr>
              <w:textAlignment w:val="baseline"/>
              <w:rPr>
                <w:rFonts w:eastAsia="Times New Roman" w:cs="Arial"/>
                <w:b w:val="0"/>
                <w:bCs w:val="0"/>
                <w:i/>
                <w:iCs/>
                <w:sz w:val="18"/>
                <w:szCs w:val="18"/>
                <w:lang w:eastAsia="en-GB"/>
              </w:rPr>
            </w:pPr>
            <w:r w:rsidRPr="00DA4F66">
              <w:rPr>
                <w:rFonts w:eastAsia="Times New Roman" w:cs="Arial"/>
                <w:b w:val="0"/>
                <w:bCs w:val="0"/>
                <w:sz w:val="18"/>
                <w:szCs w:val="18"/>
                <w:u w:val="single"/>
                <w:lang w:eastAsia="en-GB"/>
              </w:rPr>
              <w:t>Payment to a new landlord:</w:t>
            </w:r>
            <w:r w:rsidRPr="00DA4F66">
              <w:rPr>
                <w:rFonts w:eastAsia="Times New Roman" w:cs="Arial"/>
                <w:b w:val="0"/>
                <w:bCs w:val="0"/>
                <w:i/>
                <w:iCs/>
                <w:sz w:val="18"/>
                <w:szCs w:val="18"/>
                <w:lang w:eastAsia="en-GB"/>
              </w:rPr>
              <w:t> </w:t>
            </w:r>
          </w:p>
          <w:p w14:paraId="191C9AB8" w14:textId="5813492A" w:rsidR="001E1F60" w:rsidRPr="00FA7A41" w:rsidRDefault="001E1F60" w:rsidP="00287D93">
            <w:pPr>
              <w:textAlignment w:val="baseline"/>
              <w:rPr>
                <w:rFonts w:eastAsia="Times New Roman" w:cs="Arial"/>
                <w:b w:val="0"/>
                <w:bCs w:val="0"/>
                <w:i/>
                <w:iCs/>
                <w:sz w:val="18"/>
                <w:szCs w:val="18"/>
                <w:lang w:eastAsia="en-GB"/>
              </w:rPr>
            </w:pPr>
            <w:r>
              <w:rPr>
                <w:rFonts w:eastAsia="Times New Roman" w:cs="Arial"/>
                <w:b w:val="0"/>
                <w:bCs w:val="0"/>
                <w:sz w:val="18"/>
                <w:szCs w:val="18"/>
                <w:lang w:eastAsia="en-GB"/>
              </w:rPr>
              <w:t>- I</w:t>
            </w:r>
            <w:r w:rsidRPr="00FA7A41">
              <w:rPr>
                <w:rFonts w:eastAsia="Times New Roman" w:cs="Arial"/>
                <w:b w:val="0"/>
                <w:bCs w:val="0"/>
                <w:sz w:val="18"/>
                <w:szCs w:val="18"/>
                <w:lang w:eastAsia="en-GB"/>
              </w:rPr>
              <w:t>ncentive payment (prevention</w:t>
            </w:r>
            <w:r w:rsidR="00E40515">
              <w:rPr>
                <w:rFonts w:eastAsia="Times New Roman" w:cs="Arial"/>
                <w:b w:val="0"/>
                <w:bCs w:val="0"/>
                <w:sz w:val="18"/>
                <w:szCs w:val="18"/>
                <w:lang w:eastAsia="en-GB"/>
              </w:rPr>
              <w:t>/relief</w:t>
            </w:r>
            <w:r w:rsidRPr="00FA7A41">
              <w:rPr>
                <w:rFonts w:eastAsia="Times New Roman" w:cs="Arial"/>
                <w:b w:val="0"/>
                <w:bCs w:val="0"/>
                <w:sz w:val="18"/>
                <w:szCs w:val="18"/>
                <w:lang w:eastAsia="en-GB"/>
              </w:rPr>
              <w:t xml:space="preserve"> duty) </w:t>
            </w:r>
            <w:r w:rsidRPr="00FA7A41">
              <w:rPr>
                <w:rFonts w:eastAsia="Times New Roman" w:cs="Arial"/>
                <w:b w:val="0"/>
                <w:bCs w:val="0"/>
                <w:i/>
                <w:iCs/>
                <w:sz w:val="18"/>
                <w:szCs w:val="18"/>
                <w:lang w:eastAsia="en-GB"/>
              </w:rPr>
              <w:t> </w:t>
            </w:r>
          </w:p>
          <w:p w14:paraId="79684940" w14:textId="3872EDA6" w:rsidR="001E1F60" w:rsidRPr="00DA4F66" w:rsidRDefault="001E1F60" w:rsidP="00287D93">
            <w:pPr>
              <w:textAlignment w:val="baseline"/>
              <w:rPr>
                <w:rFonts w:eastAsia="Times New Roman" w:cs="Arial"/>
                <w:b w:val="0"/>
                <w:bCs w:val="0"/>
                <w:i/>
                <w:iCs/>
                <w:sz w:val="18"/>
                <w:szCs w:val="18"/>
                <w:lang w:eastAsia="en-GB"/>
              </w:rPr>
            </w:pPr>
            <w:r>
              <w:rPr>
                <w:rFonts w:eastAsia="Times New Roman" w:cs="Arial"/>
                <w:b w:val="0"/>
                <w:bCs w:val="0"/>
                <w:sz w:val="18"/>
                <w:szCs w:val="18"/>
                <w:lang w:eastAsia="en-GB"/>
              </w:rPr>
              <w:lastRenderedPageBreak/>
              <w:t>- P</w:t>
            </w:r>
            <w:r w:rsidRPr="00DA4F66">
              <w:rPr>
                <w:rFonts w:eastAsia="Times New Roman" w:cs="Arial"/>
                <w:b w:val="0"/>
                <w:bCs w:val="0"/>
                <w:sz w:val="18"/>
                <w:szCs w:val="18"/>
                <w:lang w:eastAsia="en-GB"/>
              </w:rPr>
              <w:t>ayment of upfront costs (prevention</w:t>
            </w:r>
            <w:r w:rsidR="00E40515">
              <w:rPr>
                <w:rFonts w:eastAsia="Times New Roman" w:cs="Arial"/>
                <w:b w:val="0"/>
                <w:bCs w:val="0"/>
                <w:sz w:val="18"/>
                <w:szCs w:val="18"/>
                <w:lang w:eastAsia="en-GB"/>
              </w:rPr>
              <w:t xml:space="preserve">/relief </w:t>
            </w:r>
            <w:r w:rsidRPr="00DA4F66">
              <w:rPr>
                <w:rFonts w:eastAsia="Times New Roman" w:cs="Arial"/>
                <w:b w:val="0"/>
                <w:bCs w:val="0"/>
                <w:sz w:val="18"/>
                <w:szCs w:val="18"/>
                <w:lang w:eastAsia="en-GB"/>
              </w:rPr>
              <w:t>duty)</w:t>
            </w:r>
            <w:r w:rsidRPr="00DA4F66">
              <w:rPr>
                <w:rFonts w:eastAsia="Times New Roman" w:cs="Arial"/>
                <w:b w:val="0"/>
                <w:bCs w:val="0"/>
                <w:i/>
                <w:iCs/>
                <w:sz w:val="18"/>
                <w:szCs w:val="18"/>
                <w:lang w:eastAsia="en-GB"/>
              </w:rPr>
              <w:t> </w:t>
            </w:r>
          </w:p>
          <w:p w14:paraId="30CF163C" w14:textId="77777777" w:rsidR="001E1F60" w:rsidRPr="00DA4F66" w:rsidRDefault="001E1F60" w:rsidP="00287D93">
            <w:pPr>
              <w:ind w:left="360"/>
              <w:textAlignment w:val="baseline"/>
              <w:rPr>
                <w:rFonts w:eastAsia="Times New Roman" w:cs="Arial"/>
                <w:b w:val="0"/>
                <w:bCs w:val="0"/>
                <w:i/>
                <w:iCs/>
                <w:sz w:val="18"/>
                <w:szCs w:val="18"/>
                <w:lang w:eastAsia="en-GB"/>
              </w:rPr>
            </w:pPr>
          </w:p>
          <w:p w14:paraId="1394CA8D" w14:textId="77777777" w:rsidR="001E1F60" w:rsidRPr="00DA4F66" w:rsidRDefault="001E1F60" w:rsidP="00287D93">
            <w:pPr>
              <w:textAlignment w:val="baseline"/>
              <w:rPr>
                <w:rFonts w:eastAsia="Times New Roman" w:cs="Arial"/>
                <w:b w:val="0"/>
                <w:bCs w:val="0"/>
                <w:i/>
                <w:iCs/>
                <w:sz w:val="18"/>
                <w:szCs w:val="18"/>
                <w:lang w:eastAsia="en-GB"/>
              </w:rPr>
            </w:pPr>
            <w:r w:rsidRPr="00DA4F66">
              <w:rPr>
                <w:rFonts w:eastAsia="Times New Roman" w:cs="Arial"/>
                <w:b w:val="0"/>
                <w:bCs w:val="0"/>
                <w:sz w:val="18"/>
                <w:szCs w:val="18"/>
                <w:u w:val="single"/>
                <w:lang w:eastAsia="en-GB"/>
              </w:rPr>
              <w:t>Payment to an existing landlord:</w:t>
            </w:r>
            <w:r w:rsidRPr="00DA4F66">
              <w:rPr>
                <w:rFonts w:eastAsia="Times New Roman" w:cs="Arial"/>
                <w:b w:val="0"/>
                <w:bCs w:val="0"/>
                <w:i/>
                <w:iCs/>
                <w:sz w:val="18"/>
                <w:szCs w:val="18"/>
                <w:lang w:eastAsia="en-GB"/>
              </w:rPr>
              <w:t> </w:t>
            </w:r>
          </w:p>
          <w:p w14:paraId="4E2B3307" w14:textId="77777777" w:rsidR="001E1F60" w:rsidRPr="00FA7A41" w:rsidRDefault="001E1F60" w:rsidP="00287D93">
            <w:pPr>
              <w:textAlignment w:val="baseline"/>
              <w:rPr>
                <w:rFonts w:eastAsia="Times New Roman" w:cs="Arial"/>
                <w:b w:val="0"/>
                <w:bCs w:val="0"/>
                <w:sz w:val="18"/>
                <w:szCs w:val="18"/>
                <w:lang w:eastAsia="en-GB"/>
              </w:rPr>
            </w:pPr>
            <w:r>
              <w:rPr>
                <w:rFonts w:eastAsia="Times New Roman" w:cs="Arial"/>
                <w:sz w:val="18"/>
                <w:szCs w:val="18"/>
                <w:lang w:eastAsia="en-GB"/>
              </w:rPr>
              <w:t xml:space="preserve">- </w:t>
            </w:r>
            <w:r w:rsidRPr="00FA7A41">
              <w:rPr>
                <w:rFonts w:eastAsia="Times New Roman" w:cs="Arial"/>
                <w:b w:val="0"/>
                <w:bCs w:val="0"/>
                <w:sz w:val="18"/>
                <w:szCs w:val="18"/>
                <w:lang w:eastAsia="en-GB"/>
              </w:rPr>
              <w:t>Incentive payment to retain household  </w:t>
            </w:r>
          </w:p>
          <w:p w14:paraId="6A516909" w14:textId="13554AD1" w:rsidR="001E1F60" w:rsidRPr="00DA4F66" w:rsidRDefault="001E1F60" w:rsidP="00287D93">
            <w:pPr>
              <w:textAlignment w:val="baseline"/>
              <w:rPr>
                <w:rFonts w:eastAsia="Times New Roman" w:cs="Arial"/>
                <w:b w:val="0"/>
                <w:bCs w:val="0"/>
                <w:i/>
                <w:iCs/>
                <w:sz w:val="18"/>
                <w:szCs w:val="18"/>
                <w:lang w:eastAsia="en-GB"/>
              </w:rPr>
            </w:pPr>
            <w:r>
              <w:rPr>
                <w:rFonts w:eastAsia="Times New Roman" w:cs="Arial"/>
                <w:b w:val="0"/>
                <w:bCs w:val="0"/>
                <w:sz w:val="18"/>
                <w:szCs w:val="18"/>
                <w:lang w:eastAsia="en-GB"/>
              </w:rPr>
              <w:t>- P</w:t>
            </w:r>
            <w:r w:rsidRPr="00DA4F66">
              <w:rPr>
                <w:rFonts w:eastAsia="Times New Roman" w:cs="Arial"/>
                <w:b w:val="0"/>
                <w:bCs w:val="0"/>
                <w:sz w:val="18"/>
                <w:szCs w:val="18"/>
                <w:lang w:eastAsia="en-GB"/>
              </w:rPr>
              <w:t>ayment of rent arrears</w:t>
            </w:r>
          </w:p>
          <w:p w14:paraId="503761C6" w14:textId="5DFE3143" w:rsidR="001E1F60" w:rsidRPr="00DA4F66" w:rsidRDefault="001E1F60" w:rsidP="00287D93">
            <w:pPr>
              <w:textAlignment w:val="baseline"/>
              <w:rPr>
                <w:rFonts w:eastAsia="Times New Roman" w:cs="Arial"/>
                <w:b w:val="0"/>
                <w:bCs w:val="0"/>
                <w:i/>
                <w:iCs/>
                <w:sz w:val="18"/>
                <w:szCs w:val="18"/>
                <w:lang w:eastAsia="en-GB"/>
              </w:rPr>
            </w:pPr>
            <w:r>
              <w:rPr>
                <w:rFonts w:eastAsia="Times New Roman" w:cs="Arial"/>
                <w:b w:val="0"/>
                <w:bCs w:val="0"/>
                <w:sz w:val="18"/>
                <w:szCs w:val="18"/>
                <w:lang w:eastAsia="en-GB"/>
              </w:rPr>
              <w:t>- P</w:t>
            </w:r>
            <w:r w:rsidRPr="00DA4F66">
              <w:rPr>
                <w:rFonts w:eastAsia="Times New Roman" w:cs="Arial"/>
                <w:b w:val="0"/>
                <w:bCs w:val="0"/>
                <w:sz w:val="18"/>
                <w:szCs w:val="18"/>
                <w:lang w:eastAsia="en-GB"/>
              </w:rPr>
              <w:t>ayment for repairs/improvements (prevention</w:t>
            </w:r>
            <w:r w:rsidR="00E40515">
              <w:rPr>
                <w:rFonts w:eastAsia="Times New Roman" w:cs="Arial"/>
                <w:b w:val="0"/>
                <w:bCs w:val="0"/>
                <w:sz w:val="18"/>
                <w:szCs w:val="18"/>
                <w:lang w:eastAsia="en-GB"/>
              </w:rPr>
              <w:t>/relief</w:t>
            </w:r>
            <w:r w:rsidRPr="00DA4F66">
              <w:rPr>
                <w:rFonts w:eastAsia="Times New Roman" w:cs="Arial"/>
                <w:b w:val="0"/>
                <w:bCs w:val="0"/>
                <w:sz w:val="18"/>
                <w:szCs w:val="18"/>
                <w:lang w:eastAsia="en-GB"/>
              </w:rPr>
              <w:t xml:space="preserve"> duty)</w:t>
            </w:r>
          </w:p>
          <w:p w14:paraId="77AECB28" w14:textId="77777777" w:rsidR="001E1F60" w:rsidRPr="00DA4F66" w:rsidRDefault="001E1F60" w:rsidP="00287D93">
            <w:pPr>
              <w:ind w:left="360"/>
              <w:textAlignment w:val="baseline"/>
              <w:rPr>
                <w:rFonts w:eastAsia="Times New Roman" w:cs="Arial"/>
                <w:b w:val="0"/>
                <w:bCs w:val="0"/>
                <w:i/>
                <w:iCs/>
                <w:sz w:val="18"/>
                <w:szCs w:val="18"/>
                <w:lang w:eastAsia="en-GB"/>
              </w:rPr>
            </w:pPr>
            <w:r w:rsidRPr="00DA4F66">
              <w:rPr>
                <w:rFonts w:eastAsia="Times New Roman" w:cs="Arial"/>
                <w:b w:val="0"/>
                <w:bCs w:val="0"/>
                <w:i/>
                <w:iCs/>
                <w:sz w:val="18"/>
                <w:szCs w:val="18"/>
                <w:lang w:eastAsia="en-GB"/>
              </w:rPr>
              <w:t> </w:t>
            </w:r>
          </w:p>
          <w:p w14:paraId="07B4C2C2" w14:textId="77777777" w:rsidR="001E1F60" w:rsidRPr="00DA4F66" w:rsidRDefault="001E1F60" w:rsidP="00287D93">
            <w:pPr>
              <w:textAlignment w:val="baseline"/>
              <w:rPr>
                <w:rFonts w:eastAsia="Times New Roman" w:cs="Arial"/>
                <w:b w:val="0"/>
                <w:bCs w:val="0"/>
                <w:i/>
                <w:iCs/>
                <w:sz w:val="18"/>
                <w:szCs w:val="18"/>
                <w:lang w:eastAsia="en-GB"/>
              </w:rPr>
            </w:pPr>
            <w:r w:rsidRPr="00DA4F66">
              <w:rPr>
                <w:rFonts w:eastAsia="Times New Roman" w:cs="Arial"/>
                <w:b w:val="0"/>
                <w:bCs w:val="0"/>
                <w:sz w:val="18"/>
                <w:szCs w:val="18"/>
                <w:u w:val="single"/>
                <w:lang w:eastAsia="en-GB"/>
              </w:rPr>
              <w:t>Payment to a household: </w:t>
            </w:r>
            <w:r w:rsidRPr="00DA4F66">
              <w:rPr>
                <w:rFonts w:eastAsia="Times New Roman" w:cs="Arial"/>
                <w:b w:val="0"/>
                <w:bCs w:val="0"/>
                <w:i/>
                <w:iCs/>
                <w:sz w:val="18"/>
                <w:szCs w:val="18"/>
                <w:lang w:eastAsia="en-GB"/>
              </w:rPr>
              <w:t> </w:t>
            </w:r>
          </w:p>
          <w:p w14:paraId="3CA03E74" w14:textId="232E3BAC" w:rsidR="001E1F60" w:rsidRPr="00DA4F66" w:rsidRDefault="001E1F60" w:rsidP="00287D93">
            <w:pPr>
              <w:textAlignment w:val="baseline"/>
              <w:rPr>
                <w:rFonts w:eastAsia="Times New Roman" w:cs="Arial"/>
                <w:b w:val="0"/>
                <w:bCs w:val="0"/>
                <w:i/>
                <w:iCs/>
                <w:sz w:val="18"/>
                <w:szCs w:val="18"/>
                <w:lang w:eastAsia="en-GB"/>
              </w:rPr>
            </w:pPr>
            <w:r>
              <w:rPr>
                <w:rFonts w:eastAsia="Times New Roman" w:cs="Arial"/>
                <w:b w:val="0"/>
                <w:bCs w:val="0"/>
                <w:sz w:val="18"/>
                <w:szCs w:val="18"/>
                <w:lang w:eastAsia="en-GB"/>
              </w:rPr>
              <w:t>- R</w:t>
            </w:r>
            <w:r w:rsidRPr="00DA4F66">
              <w:rPr>
                <w:rFonts w:eastAsia="Times New Roman" w:cs="Arial"/>
                <w:b w:val="0"/>
                <w:bCs w:val="0"/>
                <w:sz w:val="18"/>
                <w:szCs w:val="18"/>
                <w:lang w:eastAsia="en-GB"/>
              </w:rPr>
              <w:t>eimbursement of upfr</w:t>
            </w:r>
            <w:r>
              <w:rPr>
                <w:rFonts w:eastAsia="Times New Roman" w:cs="Arial"/>
                <w:b w:val="0"/>
                <w:bCs w:val="0"/>
                <w:sz w:val="18"/>
                <w:szCs w:val="18"/>
                <w:lang w:eastAsia="en-GB"/>
              </w:rPr>
              <w:t>o</w:t>
            </w:r>
            <w:r w:rsidRPr="00DA4F66">
              <w:rPr>
                <w:rFonts w:eastAsia="Times New Roman" w:cs="Arial"/>
                <w:b w:val="0"/>
                <w:bCs w:val="0"/>
                <w:sz w:val="18"/>
                <w:szCs w:val="18"/>
                <w:lang w:eastAsia="en-GB"/>
              </w:rPr>
              <w:t>nt costs (prevention</w:t>
            </w:r>
            <w:r w:rsidR="00E40515">
              <w:rPr>
                <w:rFonts w:eastAsia="Times New Roman" w:cs="Arial"/>
                <w:b w:val="0"/>
                <w:bCs w:val="0"/>
                <w:sz w:val="18"/>
                <w:szCs w:val="18"/>
                <w:lang w:eastAsia="en-GB"/>
              </w:rPr>
              <w:t>/relief</w:t>
            </w:r>
            <w:r w:rsidRPr="00DA4F66">
              <w:rPr>
                <w:rFonts w:eastAsia="Times New Roman" w:cs="Arial"/>
                <w:b w:val="0"/>
                <w:bCs w:val="0"/>
                <w:sz w:val="18"/>
                <w:szCs w:val="18"/>
                <w:lang w:eastAsia="en-GB"/>
              </w:rPr>
              <w:t xml:space="preserve"> duty)</w:t>
            </w:r>
            <w:r w:rsidRPr="00DA4F66">
              <w:rPr>
                <w:rFonts w:eastAsia="Times New Roman" w:cs="Arial"/>
                <w:b w:val="0"/>
                <w:bCs w:val="0"/>
                <w:i/>
                <w:iCs/>
                <w:sz w:val="18"/>
                <w:szCs w:val="18"/>
                <w:lang w:eastAsia="en-GB"/>
              </w:rPr>
              <w:t> </w:t>
            </w:r>
          </w:p>
          <w:p w14:paraId="6A88C7E6" w14:textId="77777777" w:rsidR="001E1F60" w:rsidRPr="00DA4F66" w:rsidRDefault="001E1F60" w:rsidP="00287D93">
            <w:pPr>
              <w:textAlignment w:val="baseline"/>
              <w:rPr>
                <w:rFonts w:eastAsia="Times New Roman" w:cs="Arial"/>
                <w:b w:val="0"/>
                <w:bCs w:val="0"/>
                <w:i/>
                <w:iCs/>
                <w:sz w:val="18"/>
                <w:szCs w:val="18"/>
                <w:lang w:eastAsia="en-GB"/>
              </w:rPr>
            </w:pPr>
            <w:r w:rsidRPr="00DA4F66">
              <w:rPr>
                <w:rFonts w:eastAsia="Times New Roman" w:cs="Arial"/>
                <w:b w:val="0"/>
                <w:bCs w:val="0"/>
                <w:i/>
                <w:iCs/>
                <w:sz w:val="18"/>
                <w:szCs w:val="18"/>
                <w:lang w:eastAsia="en-GB"/>
              </w:rPr>
              <w:t> </w:t>
            </w:r>
          </w:p>
          <w:p w14:paraId="1C69A1A4" w14:textId="72E5C25F" w:rsidR="001E1F60" w:rsidRPr="00DA4F66" w:rsidRDefault="001E1F60" w:rsidP="00287D93">
            <w:pPr>
              <w:textAlignment w:val="baseline"/>
              <w:rPr>
                <w:rFonts w:eastAsia="Times New Roman" w:cs="Arial"/>
                <w:i/>
                <w:iCs/>
                <w:sz w:val="18"/>
                <w:szCs w:val="18"/>
                <w:lang w:eastAsia="en-GB"/>
              </w:rPr>
            </w:pPr>
            <w:r w:rsidRPr="00DA4F66">
              <w:rPr>
                <w:rFonts w:eastAsia="Times New Roman" w:cs="Arial"/>
                <w:sz w:val="18"/>
                <w:szCs w:val="18"/>
                <w:lang w:eastAsia="en-GB"/>
              </w:rPr>
              <w:t>Other services</w:t>
            </w:r>
          </w:p>
          <w:p w14:paraId="1B6AD750" w14:textId="3961590D" w:rsidR="001E1F60" w:rsidRPr="00FA7A41" w:rsidRDefault="001E1F60" w:rsidP="00287D93">
            <w:pPr>
              <w:textAlignment w:val="baseline"/>
              <w:rPr>
                <w:rFonts w:eastAsia="Times New Roman" w:cs="Arial"/>
                <w:b w:val="0"/>
                <w:bCs w:val="0"/>
                <w:i/>
                <w:iCs/>
                <w:sz w:val="18"/>
                <w:szCs w:val="18"/>
                <w:lang w:eastAsia="en-GB"/>
              </w:rPr>
            </w:pPr>
            <w:r w:rsidRPr="00FA7A41">
              <w:rPr>
                <w:rFonts w:eastAsia="Times New Roman" w:cs="Arial"/>
                <w:b w:val="0"/>
                <w:bCs w:val="0"/>
                <w:sz w:val="18"/>
                <w:szCs w:val="18"/>
                <w:lang w:eastAsia="en-GB"/>
              </w:rPr>
              <w:t>- Externally commissioned homelessness prevention services/staff</w:t>
            </w:r>
          </w:p>
          <w:p w14:paraId="6CD2DD85" w14:textId="76870AD6" w:rsidR="001E1F60" w:rsidRPr="00DA4F66" w:rsidRDefault="001E1F60" w:rsidP="00287D93">
            <w:pPr>
              <w:textAlignment w:val="baseline"/>
              <w:rPr>
                <w:rFonts w:eastAsia="Times New Roman" w:cs="Arial"/>
                <w:b w:val="0"/>
                <w:bCs w:val="0"/>
                <w:i/>
                <w:iCs/>
                <w:sz w:val="18"/>
                <w:szCs w:val="18"/>
                <w:lang w:eastAsia="en-GB"/>
              </w:rPr>
            </w:pPr>
            <w:r>
              <w:rPr>
                <w:rFonts w:eastAsia="Times New Roman" w:cs="Arial"/>
                <w:b w:val="0"/>
                <w:bCs w:val="0"/>
                <w:sz w:val="18"/>
                <w:szCs w:val="18"/>
                <w:lang w:eastAsia="en-GB"/>
              </w:rPr>
              <w:t xml:space="preserve">- </w:t>
            </w:r>
            <w:r w:rsidRPr="00DA4F66">
              <w:rPr>
                <w:rFonts w:eastAsia="Times New Roman" w:cs="Arial"/>
                <w:b w:val="0"/>
                <w:bCs w:val="0"/>
                <w:sz w:val="18"/>
                <w:szCs w:val="18"/>
                <w:lang w:eastAsia="en-GB"/>
              </w:rPr>
              <w:t>Purchasing household goods (prevention</w:t>
            </w:r>
            <w:r w:rsidR="00082E8E">
              <w:rPr>
                <w:rFonts w:eastAsia="Times New Roman" w:cs="Arial"/>
                <w:b w:val="0"/>
                <w:bCs w:val="0"/>
                <w:sz w:val="18"/>
                <w:szCs w:val="18"/>
                <w:lang w:eastAsia="en-GB"/>
              </w:rPr>
              <w:t>/</w:t>
            </w:r>
            <w:r w:rsidR="00BD4613">
              <w:rPr>
                <w:rFonts w:eastAsia="Times New Roman" w:cs="Arial"/>
                <w:b w:val="0"/>
                <w:bCs w:val="0"/>
                <w:sz w:val="18"/>
                <w:szCs w:val="18"/>
                <w:lang w:eastAsia="en-GB"/>
              </w:rPr>
              <w:t>relief</w:t>
            </w:r>
            <w:r w:rsidRPr="00DA4F66">
              <w:rPr>
                <w:rFonts w:eastAsia="Times New Roman" w:cs="Arial"/>
                <w:b w:val="0"/>
                <w:bCs w:val="0"/>
                <w:sz w:val="18"/>
                <w:szCs w:val="18"/>
                <w:lang w:eastAsia="en-GB"/>
              </w:rPr>
              <w:t xml:space="preserve"> duty)</w:t>
            </w:r>
          </w:p>
        </w:tc>
        <w:tc>
          <w:tcPr>
            <w:tcW w:w="1701" w:type="dxa"/>
            <w:hideMark/>
          </w:tcPr>
          <w:p w14:paraId="70891FC4" w14:textId="77777777" w:rsidR="001E1F60" w:rsidRPr="00E40F2C"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eastAsia="en-GB"/>
              </w:rPr>
            </w:pPr>
            <w:r w:rsidRPr="00E40F2C">
              <w:rPr>
                <w:rFonts w:eastAsia="Times New Roman" w:cs="Arial"/>
                <w:b/>
                <w:bCs/>
                <w:sz w:val="20"/>
                <w:szCs w:val="20"/>
                <w:lang w:eastAsia="en-GB"/>
              </w:rPr>
              <w:lastRenderedPageBreak/>
              <w:t>Actual TA costs </w:t>
            </w:r>
          </w:p>
          <w:p w14:paraId="779DF5C6" w14:textId="1D50D79B" w:rsidR="001E1F60" w:rsidRDefault="001E1F60" w:rsidP="00D51B9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t>- A</w:t>
            </w:r>
            <w:r w:rsidRPr="0063767F">
              <w:rPr>
                <w:rFonts w:eastAsia="Times New Roman" w:cs="Arial"/>
                <w:sz w:val="18"/>
                <w:szCs w:val="18"/>
                <w:lang w:eastAsia="en-GB"/>
              </w:rPr>
              <w:t>ll types - nightly-paid, B&amp;Bs, LA stock, refuges etc. </w:t>
            </w:r>
          </w:p>
          <w:p w14:paraId="416C2016" w14:textId="77777777" w:rsidR="00D51B95" w:rsidRPr="00DA4F66" w:rsidRDefault="00D51B95" w:rsidP="00D51B9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p>
          <w:p w14:paraId="01EA9C94" w14:textId="77777777" w:rsidR="001E1F60" w:rsidRPr="00E40F2C"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20"/>
                <w:szCs w:val="20"/>
                <w:lang w:eastAsia="en-GB"/>
              </w:rPr>
            </w:pPr>
            <w:r w:rsidRPr="00E40F2C">
              <w:rPr>
                <w:rFonts w:eastAsia="Times New Roman" w:cs="Arial"/>
                <w:b/>
                <w:bCs/>
                <w:sz w:val="20"/>
                <w:szCs w:val="20"/>
                <w:lang w:eastAsia="en-GB"/>
              </w:rPr>
              <w:t>TA administration </w:t>
            </w:r>
          </w:p>
          <w:p w14:paraId="20857FC2" w14:textId="77777777" w:rsidR="001E1F60"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t>- P</w:t>
            </w:r>
            <w:r w:rsidRPr="0063767F">
              <w:rPr>
                <w:rFonts w:eastAsia="Times New Roman" w:cs="Arial"/>
                <w:sz w:val="18"/>
                <w:szCs w:val="18"/>
                <w:lang w:eastAsia="en-GB"/>
              </w:rPr>
              <w:t>rocurement </w:t>
            </w:r>
          </w:p>
          <w:p w14:paraId="3C82EC7A" w14:textId="77777777" w:rsidR="001E1F60"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lastRenderedPageBreak/>
              <w:t>- M</w:t>
            </w:r>
            <w:r w:rsidRPr="00DA4F66">
              <w:rPr>
                <w:rFonts w:eastAsia="Times New Roman" w:cs="Arial"/>
                <w:sz w:val="18"/>
                <w:szCs w:val="18"/>
                <w:lang w:eastAsia="en-GB"/>
              </w:rPr>
              <w:t>aintenance </w:t>
            </w:r>
          </w:p>
          <w:p w14:paraId="05B6DB3E" w14:textId="77777777" w:rsidR="001E1F60" w:rsidRPr="00DA4F66"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t xml:space="preserve">- </w:t>
            </w:r>
            <w:r w:rsidRPr="00DA4F66">
              <w:rPr>
                <w:rFonts w:eastAsia="Times New Roman" w:cs="Arial"/>
                <w:sz w:val="18"/>
                <w:szCs w:val="18"/>
                <w:lang w:eastAsia="en-GB"/>
              </w:rPr>
              <w:t>Rents teams </w:t>
            </w:r>
          </w:p>
          <w:p w14:paraId="5305819C" w14:textId="6F94C5DF" w:rsidR="001E1F60" w:rsidRPr="00DA4F66"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p>
        </w:tc>
        <w:tc>
          <w:tcPr>
            <w:tcW w:w="4962" w:type="dxa"/>
            <w:hideMark/>
          </w:tcPr>
          <w:p w14:paraId="154A1E55" w14:textId="54D86647" w:rsidR="001E1F60" w:rsidRDefault="00885888"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i/>
                <w:iCs/>
                <w:sz w:val="18"/>
                <w:szCs w:val="18"/>
                <w:lang w:eastAsia="en-GB"/>
              </w:rPr>
            </w:pPr>
            <w:r w:rsidRPr="00E40F2C">
              <w:rPr>
                <w:rFonts w:eastAsia="Times New Roman" w:cs="Arial"/>
                <w:b/>
                <w:bCs/>
                <w:sz w:val="20"/>
                <w:szCs w:val="20"/>
                <w:lang w:eastAsia="en-GB"/>
              </w:rPr>
              <w:lastRenderedPageBreak/>
              <w:t>Other s</w:t>
            </w:r>
            <w:r w:rsidR="001E1F60" w:rsidRPr="00E40F2C">
              <w:rPr>
                <w:rFonts w:eastAsia="Times New Roman" w:cs="Arial"/>
                <w:b/>
                <w:bCs/>
                <w:sz w:val="20"/>
                <w:szCs w:val="20"/>
                <w:lang w:eastAsia="en-GB"/>
              </w:rPr>
              <w:t>taffing </w:t>
            </w:r>
            <w:r w:rsidR="001E1F60" w:rsidRPr="00A540F1">
              <w:rPr>
                <w:rFonts w:eastAsia="Times New Roman" w:cs="Arial"/>
                <w:i/>
                <w:iCs/>
                <w:sz w:val="18"/>
                <w:szCs w:val="18"/>
                <w:lang w:eastAsia="en-GB"/>
              </w:rPr>
              <w:t>(</w:t>
            </w:r>
            <w:r w:rsidR="001E1F60" w:rsidRPr="00711AAB">
              <w:rPr>
                <w:rFonts w:eastAsia="Times New Roman" w:cs="Arial"/>
                <w:i/>
                <w:iCs/>
                <w:sz w:val="18"/>
                <w:szCs w:val="18"/>
                <w:lang w:eastAsia="en-GB"/>
              </w:rPr>
              <w:t>can be classed as ‘prevention</w:t>
            </w:r>
            <w:r w:rsidR="002923D9">
              <w:rPr>
                <w:rFonts w:eastAsia="Times New Roman" w:cs="Arial"/>
                <w:i/>
                <w:iCs/>
                <w:sz w:val="18"/>
                <w:szCs w:val="18"/>
                <w:lang w:eastAsia="en-GB"/>
              </w:rPr>
              <w:t xml:space="preserve"> and relief</w:t>
            </w:r>
            <w:r w:rsidR="001E1F60" w:rsidRPr="00711AAB">
              <w:rPr>
                <w:rFonts w:eastAsia="Times New Roman" w:cs="Arial"/>
                <w:i/>
                <w:iCs/>
                <w:sz w:val="18"/>
                <w:szCs w:val="18"/>
                <w:lang w:eastAsia="en-GB"/>
              </w:rPr>
              <w:t xml:space="preserve">’ if a more than </w:t>
            </w:r>
            <w:r w:rsidR="00E008C1">
              <w:rPr>
                <w:rFonts w:eastAsia="Times New Roman" w:cs="Arial"/>
                <w:i/>
                <w:iCs/>
                <w:sz w:val="18"/>
                <w:szCs w:val="18"/>
                <w:lang w:eastAsia="en-GB"/>
              </w:rPr>
              <w:t>50%</w:t>
            </w:r>
            <w:r w:rsidR="001E1F60" w:rsidRPr="00711AAB">
              <w:rPr>
                <w:rFonts w:eastAsia="Times New Roman" w:cs="Arial"/>
                <w:i/>
                <w:iCs/>
                <w:sz w:val="18"/>
                <w:szCs w:val="18"/>
                <w:lang w:eastAsia="en-GB"/>
              </w:rPr>
              <w:t xml:space="preserve"> of their role consists of</w:t>
            </w:r>
            <w:r w:rsidR="002923D9">
              <w:rPr>
                <w:rFonts w:eastAsia="Times New Roman" w:cs="Arial"/>
                <w:i/>
                <w:iCs/>
                <w:sz w:val="18"/>
                <w:szCs w:val="18"/>
                <w:lang w:eastAsia="en-GB"/>
              </w:rPr>
              <w:t xml:space="preserve"> work undertaken </w:t>
            </w:r>
            <w:r w:rsidR="00F35D11">
              <w:rPr>
                <w:rFonts w:eastAsia="Times New Roman" w:cs="Arial"/>
                <w:i/>
                <w:iCs/>
                <w:sz w:val="18"/>
                <w:szCs w:val="18"/>
                <w:lang w:eastAsia="en-GB"/>
              </w:rPr>
              <w:t xml:space="preserve">under the </w:t>
            </w:r>
            <w:r w:rsidR="002923D9">
              <w:rPr>
                <w:rFonts w:eastAsia="Times New Roman" w:cs="Arial"/>
                <w:i/>
                <w:iCs/>
                <w:sz w:val="18"/>
                <w:szCs w:val="18"/>
                <w:lang w:eastAsia="en-GB"/>
              </w:rPr>
              <w:t>prevention and/or relief duties</w:t>
            </w:r>
            <w:r w:rsidR="00F35D11">
              <w:rPr>
                <w:rFonts w:eastAsia="Times New Roman" w:cs="Arial"/>
                <w:i/>
                <w:iCs/>
                <w:sz w:val="18"/>
                <w:szCs w:val="18"/>
                <w:lang w:eastAsia="en-GB"/>
              </w:rPr>
              <w:t>,</w:t>
            </w:r>
            <w:r w:rsidR="00E40F2C">
              <w:rPr>
                <w:rFonts w:eastAsia="Times New Roman" w:cs="Arial"/>
                <w:i/>
                <w:iCs/>
                <w:sz w:val="18"/>
                <w:szCs w:val="18"/>
                <w:lang w:eastAsia="en-GB"/>
              </w:rPr>
              <w:t xml:space="preserve"> or </w:t>
            </w:r>
            <w:r w:rsidR="004223B6">
              <w:rPr>
                <w:rFonts w:eastAsia="Times New Roman" w:cs="Arial"/>
                <w:i/>
                <w:iCs/>
                <w:sz w:val="18"/>
                <w:szCs w:val="18"/>
                <w:lang w:eastAsia="en-GB"/>
              </w:rPr>
              <w:t xml:space="preserve">other </w:t>
            </w:r>
            <w:r w:rsidR="00E40F2C">
              <w:rPr>
                <w:rFonts w:eastAsia="Times New Roman" w:cs="Arial"/>
                <w:i/>
                <w:iCs/>
                <w:sz w:val="18"/>
                <w:szCs w:val="18"/>
                <w:lang w:eastAsia="en-GB"/>
              </w:rPr>
              <w:t>prevention</w:t>
            </w:r>
            <w:r w:rsidR="00F35D11">
              <w:rPr>
                <w:rFonts w:eastAsia="Times New Roman" w:cs="Arial"/>
                <w:i/>
                <w:iCs/>
                <w:sz w:val="18"/>
                <w:szCs w:val="18"/>
                <w:lang w:eastAsia="en-GB"/>
              </w:rPr>
              <w:t xml:space="preserve">/relief </w:t>
            </w:r>
            <w:r w:rsidR="00E40F2C">
              <w:rPr>
                <w:rFonts w:eastAsia="Times New Roman" w:cs="Arial"/>
                <w:i/>
                <w:iCs/>
                <w:sz w:val="18"/>
                <w:szCs w:val="18"/>
                <w:lang w:eastAsia="en-GB"/>
              </w:rPr>
              <w:t>work</w:t>
            </w:r>
            <w:r w:rsidR="001E1F60">
              <w:rPr>
                <w:rFonts w:eastAsia="Times New Roman" w:cs="Arial"/>
                <w:i/>
                <w:iCs/>
                <w:sz w:val="18"/>
                <w:szCs w:val="18"/>
                <w:lang w:eastAsia="en-GB"/>
              </w:rPr>
              <w:t>)</w:t>
            </w:r>
          </w:p>
          <w:p w14:paraId="6590D0ED" w14:textId="77777777" w:rsidR="00E40F2C" w:rsidRPr="00711AAB" w:rsidRDefault="00E40F2C"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p>
          <w:p w14:paraId="0D215DC8" w14:textId="77777777" w:rsidR="001E1F60"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t xml:space="preserve">- </w:t>
            </w:r>
            <w:r w:rsidRPr="00DA4F66">
              <w:rPr>
                <w:rFonts w:eastAsia="Times New Roman" w:cs="Arial"/>
                <w:sz w:val="18"/>
                <w:szCs w:val="18"/>
                <w:lang w:eastAsia="en-GB"/>
              </w:rPr>
              <w:t>Procurement teams </w:t>
            </w:r>
          </w:p>
          <w:p w14:paraId="54178B9C" w14:textId="77777777" w:rsidR="001E1F60" w:rsidRPr="00DA4F66"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t xml:space="preserve">- </w:t>
            </w:r>
            <w:r w:rsidRPr="00DA4F66">
              <w:rPr>
                <w:rFonts w:eastAsia="Times New Roman" w:cs="Arial"/>
                <w:sz w:val="18"/>
                <w:szCs w:val="18"/>
                <w:lang w:eastAsia="en-GB"/>
              </w:rPr>
              <w:t>Finance teams </w:t>
            </w:r>
          </w:p>
          <w:p w14:paraId="2653C43A" w14:textId="77777777" w:rsidR="001E1F60" w:rsidRPr="00DA4F66"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t xml:space="preserve">- </w:t>
            </w:r>
            <w:r w:rsidRPr="00DA4F66">
              <w:rPr>
                <w:rFonts w:eastAsia="Times New Roman" w:cs="Arial"/>
                <w:sz w:val="18"/>
                <w:szCs w:val="18"/>
                <w:lang w:eastAsia="en-GB"/>
              </w:rPr>
              <w:t>Legal teams </w:t>
            </w:r>
          </w:p>
          <w:p w14:paraId="769BB5C4" w14:textId="77777777" w:rsidR="001E1F60" w:rsidRPr="00DA4F66"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t xml:space="preserve">- </w:t>
            </w:r>
            <w:r w:rsidRPr="00DA4F66">
              <w:rPr>
                <w:rFonts w:eastAsia="Times New Roman" w:cs="Arial"/>
                <w:sz w:val="18"/>
                <w:szCs w:val="18"/>
                <w:lang w:eastAsia="en-GB"/>
              </w:rPr>
              <w:t>Review officers </w:t>
            </w:r>
          </w:p>
          <w:p w14:paraId="4E991218" w14:textId="203C1A7D" w:rsidR="001E1F60" w:rsidRPr="00DA4F66"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t xml:space="preserve">- </w:t>
            </w:r>
            <w:r w:rsidRPr="00DA4F66">
              <w:rPr>
                <w:rFonts w:eastAsia="Times New Roman" w:cs="Arial"/>
                <w:sz w:val="18"/>
                <w:szCs w:val="18"/>
                <w:lang w:eastAsia="en-GB"/>
              </w:rPr>
              <w:t xml:space="preserve">Strategy </w:t>
            </w:r>
            <w:r w:rsidR="00185A80">
              <w:rPr>
                <w:rFonts w:eastAsia="Times New Roman" w:cs="Arial"/>
                <w:sz w:val="18"/>
                <w:szCs w:val="18"/>
                <w:lang w:eastAsia="en-GB"/>
              </w:rPr>
              <w:t>staff</w:t>
            </w:r>
            <w:r w:rsidRPr="00DA4F66">
              <w:rPr>
                <w:rFonts w:eastAsia="Times New Roman" w:cs="Arial"/>
                <w:sz w:val="18"/>
                <w:szCs w:val="18"/>
                <w:lang w:eastAsia="en-GB"/>
              </w:rPr>
              <w:t> </w:t>
            </w:r>
          </w:p>
          <w:p w14:paraId="61580027" w14:textId="77777777" w:rsidR="001E1F60" w:rsidRPr="00DA4F66"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lastRenderedPageBreak/>
              <w:t xml:space="preserve">- </w:t>
            </w:r>
            <w:r w:rsidRPr="00DA4F66">
              <w:rPr>
                <w:rFonts w:eastAsia="Times New Roman" w:cs="Arial"/>
                <w:sz w:val="18"/>
                <w:szCs w:val="18"/>
                <w:lang w:eastAsia="en-GB"/>
              </w:rPr>
              <w:t>Commissioners </w:t>
            </w:r>
          </w:p>
          <w:p w14:paraId="080AC56B" w14:textId="690901B7" w:rsidR="001E1F60" w:rsidRPr="00DA4F66"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t xml:space="preserve">- </w:t>
            </w:r>
            <w:r w:rsidRPr="00DA4F66">
              <w:rPr>
                <w:rFonts w:eastAsia="Times New Roman" w:cs="Arial"/>
                <w:sz w:val="18"/>
                <w:szCs w:val="18"/>
                <w:lang w:eastAsia="en-GB"/>
              </w:rPr>
              <w:t>Private housing enforcement</w:t>
            </w:r>
          </w:p>
          <w:p w14:paraId="204446E8" w14:textId="0CC656D6" w:rsidR="001E1F60"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t xml:space="preserve">- </w:t>
            </w:r>
            <w:r w:rsidRPr="00DA4F66">
              <w:rPr>
                <w:rFonts w:eastAsia="Times New Roman" w:cs="Arial"/>
                <w:sz w:val="18"/>
                <w:szCs w:val="18"/>
                <w:lang w:eastAsia="en-GB"/>
              </w:rPr>
              <w:t xml:space="preserve">Outreach </w:t>
            </w:r>
            <w:r w:rsidR="00185A80">
              <w:rPr>
                <w:rFonts w:eastAsia="Times New Roman" w:cs="Arial"/>
                <w:sz w:val="18"/>
                <w:szCs w:val="18"/>
                <w:lang w:eastAsia="en-GB"/>
              </w:rPr>
              <w:t>staff</w:t>
            </w:r>
          </w:p>
          <w:p w14:paraId="463E82EE" w14:textId="4F98EB28" w:rsidR="00677CA9" w:rsidRPr="00DA4F66" w:rsidRDefault="00677CA9"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t xml:space="preserve">- Healthcare </w:t>
            </w:r>
            <w:r w:rsidR="00940EE3">
              <w:rPr>
                <w:rFonts w:eastAsia="Times New Roman" w:cs="Arial"/>
                <w:sz w:val="18"/>
                <w:szCs w:val="18"/>
                <w:lang w:eastAsia="en-GB"/>
              </w:rPr>
              <w:t>staff</w:t>
            </w:r>
          </w:p>
          <w:p w14:paraId="7660EC1F" w14:textId="514C02AF" w:rsidR="001E1F60" w:rsidRPr="00DA4F66"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t xml:space="preserve">- </w:t>
            </w:r>
            <w:r w:rsidRPr="00DA4F66">
              <w:rPr>
                <w:rFonts w:eastAsia="Times New Roman" w:cs="Arial"/>
                <w:sz w:val="18"/>
                <w:szCs w:val="18"/>
                <w:lang w:eastAsia="en-GB"/>
              </w:rPr>
              <w:t>Any other specialist roles</w:t>
            </w:r>
          </w:p>
          <w:p w14:paraId="7F4F6A27" w14:textId="77777777" w:rsidR="001E1F60" w:rsidRPr="00DA4F66"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t xml:space="preserve">- </w:t>
            </w:r>
            <w:r w:rsidRPr="00DA4F66">
              <w:rPr>
                <w:rFonts w:eastAsia="Times New Roman" w:cs="Arial"/>
                <w:sz w:val="18"/>
                <w:szCs w:val="18"/>
                <w:lang w:eastAsia="en-GB"/>
              </w:rPr>
              <w:t>Staff training/expenses </w:t>
            </w:r>
          </w:p>
          <w:p w14:paraId="24A854FA" w14:textId="396B5EF6" w:rsidR="001E1F60" w:rsidRPr="00DA4F66" w:rsidRDefault="001E1F60" w:rsidP="00287D93">
            <w:pPr>
              <w:ind w:left="126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p>
          <w:p w14:paraId="68D0C991" w14:textId="77777777" w:rsidR="001E1F60" w:rsidRPr="00DA4F66"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lang w:eastAsia="en-GB"/>
              </w:rPr>
            </w:pPr>
            <w:r w:rsidRPr="00DA4F66">
              <w:rPr>
                <w:rFonts w:eastAsia="Times New Roman" w:cs="Arial"/>
                <w:b/>
                <w:bCs/>
                <w:sz w:val="18"/>
                <w:szCs w:val="18"/>
                <w:lang w:eastAsia="en-GB"/>
              </w:rPr>
              <w:t>Incentive schemes </w:t>
            </w:r>
          </w:p>
          <w:p w14:paraId="2CD1BC35" w14:textId="77777777" w:rsidR="001E1F60" w:rsidRPr="00DA4F66"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sidRPr="00DA4F66">
              <w:rPr>
                <w:rFonts w:eastAsia="Times New Roman" w:cs="Arial"/>
                <w:sz w:val="18"/>
                <w:szCs w:val="18"/>
                <w:u w:val="single"/>
                <w:lang w:eastAsia="en-GB"/>
              </w:rPr>
              <w:t>Payment to a new landlord:</w:t>
            </w:r>
            <w:r w:rsidRPr="00DA4F66">
              <w:rPr>
                <w:rFonts w:eastAsia="Times New Roman" w:cs="Arial"/>
                <w:sz w:val="18"/>
                <w:szCs w:val="18"/>
                <w:lang w:eastAsia="en-GB"/>
              </w:rPr>
              <w:t> </w:t>
            </w:r>
          </w:p>
          <w:p w14:paraId="052E12C0" w14:textId="20283641" w:rsidR="001E1F60" w:rsidRPr="004C1ED1"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t>- I</w:t>
            </w:r>
            <w:r w:rsidRPr="004C1ED1">
              <w:rPr>
                <w:rFonts w:eastAsia="Times New Roman" w:cs="Arial"/>
                <w:sz w:val="18"/>
                <w:szCs w:val="18"/>
                <w:lang w:eastAsia="en-GB"/>
              </w:rPr>
              <w:t>ncentive payment (main duty) </w:t>
            </w:r>
          </w:p>
          <w:p w14:paraId="53920CE4" w14:textId="33D2821E" w:rsidR="001E1F60" w:rsidRPr="00DA4F66"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t xml:space="preserve">- </w:t>
            </w:r>
            <w:r w:rsidRPr="00DA4F66">
              <w:rPr>
                <w:rFonts w:eastAsia="Times New Roman" w:cs="Arial"/>
                <w:sz w:val="18"/>
                <w:szCs w:val="18"/>
                <w:lang w:eastAsia="en-GB"/>
              </w:rPr>
              <w:t>Upfront costs (main duty)  </w:t>
            </w:r>
          </w:p>
          <w:p w14:paraId="25056910" w14:textId="50559087" w:rsidR="001E1F60" w:rsidRPr="00DA4F66"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t xml:space="preserve">- </w:t>
            </w:r>
            <w:r w:rsidR="00D51B95">
              <w:rPr>
                <w:rFonts w:eastAsia="Times New Roman" w:cs="Arial"/>
                <w:sz w:val="18"/>
                <w:szCs w:val="18"/>
                <w:lang w:eastAsia="en-GB"/>
              </w:rPr>
              <w:t>O</w:t>
            </w:r>
            <w:r w:rsidRPr="00DA4F66">
              <w:rPr>
                <w:rFonts w:eastAsia="Times New Roman" w:cs="Arial"/>
                <w:sz w:val="18"/>
                <w:szCs w:val="18"/>
                <w:lang w:eastAsia="en-GB"/>
              </w:rPr>
              <w:t>ther incentive schemes</w:t>
            </w:r>
            <w:r w:rsidR="00D51B95">
              <w:rPr>
                <w:rFonts w:eastAsia="Times New Roman" w:cs="Arial"/>
                <w:sz w:val="18"/>
                <w:szCs w:val="18"/>
                <w:lang w:eastAsia="en-GB"/>
              </w:rPr>
              <w:t xml:space="preserve"> including administration</w:t>
            </w:r>
            <w:r w:rsidRPr="00DA4F66">
              <w:rPr>
                <w:rFonts w:eastAsia="Times New Roman" w:cs="Arial"/>
                <w:sz w:val="18"/>
                <w:szCs w:val="18"/>
                <w:lang w:eastAsia="en-GB"/>
              </w:rPr>
              <w:t xml:space="preserve"> – rent deposit schemes etc</w:t>
            </w:r>
            <w:r w:rsidR="00686A8F">
              <w:rPr>
                <w:rFonts w:eastAsia="Times New Roman" w:cs="Arial"/>
                <w:sz w:val="18"/>
                <w:szCs w:val="18"/>
                <w:lang w:eastAsia="en-GB"/>
              </w:rPr>
              <w:t xml:space="preserve"> (main duty)</w:t>
            </w:r>
          </w:p>
          <w:p w14:paraId="5B9C434F" w14:textId="6726E0CD" w:rsidR="001E1F60" w:rsidRPr="00DA4F66" w:rsidRDefault="001E1F60" w:rsidP="00B55E3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p>
          <w:p w14:paraId="14CF05E5" w14:textId="735EB237" w:rsidR="001E1F60" w:rsidRPr="00DA4F66"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b/>
                <w:bCs/>
                <w:sz w:val="18"/>
                <w:szCs w:val="18"/>
                <w:lang w:eastAsia="en-GB"/>
              </w:rPr>
            </w:pPr>
            <w:r w:rsidRPr="00DA4F66">
              <w:rPr>
                <w:rFonts w:eastAsia="Times New Roman" w:cs="Arial"/>
                <w:b/>
                <w:bCs/>
                <w:sz w:val="18"/>
                <w:szCs w:val="18"/>
                <w:lang w:eastAsia="en-GB"/>
              </w:rPr>
              <w:t>Other services </w:t>
            </w:r>
          </w:p>
          <w:p w14:paraId="6521CDA6" w14:textId="77777777" w:rsidR="001E1F60" w:rsidRPr="004C1ED1"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t>- E</w:t>
            </w:r>
            <w:r w:rsidRPr="004C1ED1">
              <w:rPr>
                <w:rFonts w:eastAsia="Times New Roman" w:cs="Arial"/>
                <w:sz w:val="18"/>
                <w:szCs w:val="18"/>
                <w:lang w:eastAsia="en-GB"/>
              </w:rPr>
              <w:t>xternally commissioned homelessness services/staff </w:t>
            </w:r>
          </w:p>
          <w:p w14:paraId="5CDB40A1" w14:textId="31398223" w:rsidR="001E1F60" w:rsidRPr="00DA4F66" w:rsidRDefault="001E1F60" w:rsidP="00287D93">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18"/>
                <w:szCs w:val="18"/>
                <w:lang w:eastAsia="en-GB"/>
              </w:rPr>
            </w:pPr>
            <w:r>
              <w:rPr>
                <w:rFonts w:eastAsia="Times New Roman" w:cs="Arial"/>
                <w:sz w:val="18"/>
                <w:szCs w:val="18"/>
                <w:lang w:eastAsia="en-GB"/>
              </w:rPr>
              <w:t xml:space="preserve">- </w:t>
            </w:r>
            <w:r w:rsidRPr="00DA4F66">
              <w:rPr>
                <w:rFonts w:eastAsia="Times New Roman" w:cs="Arial"/>
                <w:sz w:val="18"/>
                <w:szCs w:val="18"/>
                <w:lang w:eastAsia="en-GB"/>
              </w:rPr>
              <w:t>Purchasing household goods (main duty)  </w:t>
            </w:r>
          </w:p>
        </w:tc>
      </w:tr>
    </w:tbl>
    <w:p w14:paraId="7DCF7A3E" w14:textId="77777777" w:rsidR="001E1F60" w:rsidRDefault="001E1F60" w:rsidP="001E1F60">
      <w:pPr>
        <w:spacing w:after="120"/>
        <w:rPr>
          <w:rFonts w:cs="Arial"/>
        </w:rPr>
      </w:pPr>
    </w:p>
    <w:p w14:paraId="050B563D" w14:textId="2F2AD724" w:rsidR="005E49AC" w:rsidRPr="003379C1" w:rsidRDefault="001E1F60" w:rsidP="00B8193C">
      <w:pPr>
        <w:pStyle w:val="ListParagraph"/>
        <w:numPr>
          <w:ilvl w:val="1"/>
          <w:numId w:val="26"/>
        </w:numPr>
        <w:spacing w:after="120" w:line="259" w:lineRule="auto"/>
        <w:contextualSpacing w:val="0"/>
        <w:rPr>
          <w:rFonts w:ascii="Arial" w:hAnsi="Arial"/>
        </w:rPr>
      </w:pPr>
      <w:r w:rsidRPr="003379C1">
        <w:rPr>
          <w:rFonts w:ascii="Arial" w:hAnsi="Arial"/>
        </w:rPr>
        <w:t>Costs arising from work undertaken during the main</w:t>
      </w:r>
      <w:r w:rsidR="00EB5507" w:rsidRPr="003379C1">
        <w:rPr>
          <w:rFonts w:ascii="Arial" w:hAnsi="Arial"/>
        </w:rPr>
        <w:t xml:space="preserve"> housing</w:t>
      </w:r>
      <w:r w:rsidR="00655DE3" w:rsidRPr="003379C1">
        <w:rPr>
          <w:rFonts w:ascii="Arial" w:hAnsi="Arial"/>
        </w:rPr>
        <w:t xml:space="preserve"> </w:t>
      </w:r>
      <w:r w:rsidRPr="003379C1">
        <w:rPr>
          <w:rFonts w:ascii="Arial" w:hAnsi="Arial"/>
        </w:rPr>
        <w:t>duty would be classed as ‘</w:t>
      </w:r>
      <w:r w:rsidR="00E35B0C">
        <w:rPr>
          <w:rFonts w:ascii="Arial" w:hAnsi="Arial"/>
        </w:rPr>
        <w:t>main duty/</w:t>
      </w:r>
      <w:r w:rsidR="00E008C1" w:rsidRPr="003379C1">
        <w:rPr>
          <w:rFonts w:ascii="Arial" w:hAnsi="Arial"/>
        </w:rPr>
        <w:t>other</w:t>
      </w:r>
      <w:r w:rsidRPr="003379C1">
        <w:rPr>
          <w:rFonts w:ascii="Arial" w:hAnsi="Arial"/>
        </w:rPr>
        <w:t xml:space="preserve">’ spend for these purposes. We are aware that staff will often have roles spanning across </w:t>
      </w:r>
      <w:r w:rsidR="002231ED">
        <w:rPr>
          <w:rFonts w:ascii="Arial" w:hAnsi="Arial"/>
        </w:rPr>
        <w:t xml:space="preserve">various </w:t>
      </w:r>
      <w:r w:rsidRPr="003379C1">
        <w:rPr>
          <w:rFonts w:ascii="Arial" w:hAnsi="Arial"/>
        </w:rPr>
        <w:t>types of homelessness support – in this case, staffing costs can be categorised as ‘prevention</w:t>
      </w:r>
      <w:r w:rsidR="002231ED">
        <w:rPr>
          <w:rFonts w:ascii="Arial" w:hAnsi="Arial"/>
        </w:rPr>
        <w:t xml:space="preserve"> and relief</w:t>
      </w:r>
      <w:r w:rsidRPr="003379C1">
        <w:rPr>
          <w:rFonts w:ascii="Arial" w:hAnsi="Arial"/>
        </w:rPr>
        <w:t xml:space="preserve">’ spend if more than </w:t>
      </w:r>
      <w:r w:rsidR="00E008C1" w:rsidRPr="003379C1">
        <w:rPr>
          <w:rFonts w:ascii="Arial" w:hAnsi="Arial"/>
        </w:rPr>
        <w:t xml:space="preserve">50% of </w:t>
      </w:r>
      <w:r w:rsidRPr="003379C1">
        <w:rPr>
          <w:rFonts w:ascii="Arial" w:hAnsi="Arial"/>
        </w:rPr>
        <w:t>their role consists of prevention</w:t>
      </w:r>
      <w:r w:rsidR="002231ED">
        <w:rPr>
          <w:rFonts w:ascii="Arial" w:hAnsi="Arial"/>
        </w:rPr>
        <w:t xml:space="preserve"> and/or relief</w:t>
      </w:r>
      <w:r w:rsidRPr="003379C1">
        <w:rPr>
          <w:rFonts w:ascii="Arial" w:hAnsi="Arial"/>
        </w:rPr>
        <w:t xml:space="preserve"> work</w:t>
      </w:r>
      <w:r w:rsidR="0006037C" w:rsidRPr="003379C1">
        <w:rPr>
          <w:rFonts w:ascii="Arial" w:hAnsi="Arial"/>
        </w:rPr>
        <w:t xml:space="preserve"> (we recognise that in some cases, this will be determined via an estimate)</w:t>
      </w:r>
      <w:r w:rsidRPr="003379C1">
        <w:rPr>
          <w:rFonts w:ascii="Arial" w:hAnsi="Arial"/>
        </w:rPr>
        <w:t>.</w:t>
      </w:r>
      <w:r w:rsidR="002231ED">
        <w:rPr>
          <w:rFonts w:ascii="Arial" w:hAnsi="Arial"/>
        </w:rPr>
        <w:t xml:space="preserve"> </w:t>
      </w:r>
      <w:r w:rsidRPr="003379C1">
        <w:rPr>
          <w:rFonts w:ascii="Arial" w:hAnsi="Arial"/>
        </w:rPr>
        <w:t>TA spend will encompass TA costs net of Housing Benefit, including costs associated with the administration, inspection, or procurement of TA.</w:t>
      </w:r>
    </w:p>
    <w:p w14:paraId="6707C267" w14:textId="138F07F3" w:rsidR="006F7E81" w:rsidRDefault="006F7E81" w:rsidP="006F7E81">
      <w:pPr>
        <w:pStyle w:val="ListParagraph"/>
        <w:numPr>
          <w:ilvl w:val="1"/>
          <w:numId w:val="26"/>
        </w:numPr>
        <w:spacing w:after="120" w:line="259" w:lineRule="auto"/>
        <w:contextualSpacing w:val="0"/>
        <w:rPr>
          <w:rFonts w:ascii="Arial" w:hAnsi="Arial"/>
        </w:rPr>
      </w:pPr>
      <w:r>
        <w:rPr>
          <w:rFonts w:ascii="Arial" w:hAnsi="Arial"/>
        </w:rPr>
        <w:t xml:space="preserve">This change will give us the data we need to understand how much is spent on TA across </w:t>
      </w:r>
      <w:r w:rsidR="00A06413">
        <w:rPr>
          <w:rFonts w:ascii="Arial" w:hAnsi="Arial"/>
        </w:rPr>
        <w:t>g</w:t>
      </w:r>
      <w:r>
        <w:rPr>
          <w:rFonts w:ascii="Arial" w:hAnsi="Arial"/>
        </w:rPr>
        <w:t>overnment</w:t>
      </w:r>
      <w:r w:rsidR="00AE3B2B">
        <w:rPr>
          <w:rFonts w:ascii="Arial" w:hAnsi="Arial"/>
        </w:rPr>
        <w:t xml:space="preserve"> and from which funding streams</w:t>
      </w:r>
      <w:r>
        <w:rPr>
          <w:rFonts w:ascii="Arial" w:hAnsi="Arial"/>
        </w:rPr>
        <w:t>. It will also allow us to identify the authorities which are able to maximise prevention</w:t>
      </w:r>
      <w:r w:rsidR="00B0406E">
        <w:rPr>
          <w:rFonts w:ascii="Arial" w:hAnsi="Arial"/>
        </w:rPr>
        <w:t xml:space="preserve"> </w:t>
      </w:r>
      <w:r>
        <w:rPr>
          <w:rFonts w:ascii="Arial" w:hAnsi="Arial"/>
        </w:rPr>
        <w:t>spend through the grant, as a first step toward identifying effective interventions to improve shared learning across authorities.</w:t>
      </w:r>
    </w:p>
    <w:p w14:paraId="6529F91E" w14:textId="4A9F8FDF" w:rsidR="001E1F60" w:rsidRPr="006F7E81" w:rsidRDefault="001E1F60" w:rsidP="00984510">
      <w:pPr>
        <w:pStyle w:val="ListParagraph"/>
        <w:numPr>
          <w:ilvl w:val="1"/>
          <w:numId w:val="26"/>
        </w:numPr>
        <w:spacing w:after="120" w:line="259" w:lineRule="auto"/>
        <w:contextualSpacing w:val="0"/>
        <w:rPr>
          <w:rFonts w:ascii="Arial" w:hAnsi="Arial"/>
        </w:rPr>
      </w:pPr>
      <w:r w:rsidRPr="006F7E81">
        <w:rPr>
          <w:rFonts w:ascii="Arial" w:hAnsi="Arial"/>
        </w:rPr>
        <w:t xml:space="preserve">We are keen </w:t>
      </w:r>
      <w:r w:rsidR="000A3915" w:rsidRPr="006F7E81">
        <w:rPr>
          <w:rFonts w:ascii="Arial" w:hAnsi="Arial"/>
        </w:rPr>
        <w:t xml:space="preserve">that this change is implemented in a </w:t>
      </w:r>
      <w:r w:rsidR="00886C49" w:rsidRPr="006F7E81">
        <w:rPr>
          <w:rFonts w:ascii="Arial" w:hAnsi="Arial"/>
        </w:rPr>
        <w:t>proportionate way</w:t>
      </w:r>
      <w:r w:rsidR="003A3DB9" w:rsidRPr="006F7E81">
        <w:rPr>
          <w:rFonts w:ascii="Arial" w:hAnsi="Arial"/>
        </w:rPr>
        <w:t xml:space="preserve">, </w:t>
      </w:r>
      <w:r w:rsidR="000A3915" w:rsidRPr="006F7E81">
        <w:rPr>
          <w:rFonts w:ascii="Arial" w:hAnsi="Arial"/>
        </w:rPr>
        <w:t xml:space="preserve">which </w:t>
      </w:r>
      <w:r w:rsidR="003A3DB9" w:rsidRPr="006F7E81">
        <w:rPr>
          <w:rFonts w:ascii="Arial" w:hAnsi="Arial"/>
        </w:rPr>
        <w:t>minimise</w:t>
      </w:r>
      <w:r w:rsidR="000A3915" w:rsidRPr="006F7E81">
        <w:rPr>
          <w:rFonts w:ascii="Arial" w:hAnsi="Arial"/>
        </w:rPr>
        <w:t>s</w:t>
      </w:r>
      <w:r w:rsidR="003A3DB9" w:rsidRPr="006F7E81">
        <w:rPr>
          <w:rFonts w:ascii="Arial" w:hAnsi="Arial"/>
        </w:rPr>
        <w:t xml:space="preserve"> the</w:t>
      </w:r>
      <w:r w:rsidR="000A3915" w:rsidRPr="006F7E81">
        <w:rPr>
          <w:rFonts w:ascii="Arial" w:hAnsi="Arial"/>
        </w:rPr>
        <w:t xml:space="preserve"> potential</w:t>
      </w:r>
      <w:r w:rsidR="003A3DB9" w:rsidRPr="006F7E81">
        <w:rPr>
          <w:rFonts w:ascii="Arial" w:hAnsi="Arial"/>
        </w:rPr>
        <w:t xml:space="preserve"> administrative impact on authorities. We are interested to</w:t>
      </w:r>
      <w:r w:rsidR="000A3915" w:rsidRPr="006F7E81">
        <w:rPr>
          <w:rFonts w:ascii="Arial" w:hAnsi="Arial"/>
        </w:rPr>
        <w:t xml:space="preserve"> </w:t>
      </w:r>
      <w:r w:rsidRPr="006F7E81">
        <w:rPr>
          <w:rFonts w:ascii="Arial" w:hAnsi="Arial"/>
        </w:rPr>
        <w:t>hear views on whether th</w:t>
      </w:r>
      <w:r w:rsidR="00473160">
        <w:rPr>
          <w:rFonts w:ascii="Arial" w:hAnsi="Arial"/>
        </w:rPr>
        <w:t>e definition of these categories are workable</w:t>
      </w:r>
      <w:r w:rsidRPr="006F7E81">
        <w:rPr>
          <w:rFonts w:ascii="Arial" w:hAnsi="Arial"/>
        </w:rPr>
        <w:t>, whether there are other types of spend we have not listed above</w:t>
      </w:r>
      <w:r w:rsidR="00750867" w:rsidRPr="006F7E81">
        <w:rPr>
          <w:rFonts w:ascii="Arial" w:hAnsi="Arial"/>
        </w:rPr>
        <w:t xml:space="preserve">, </w:t>
      </w:r>
      <w:r w:rsidR="001C0885">
        <w:rPr>
          <w:rFonts w:ascii="Arial" w:hAnsi="Arial"/>
        </w:rPr>
        <w:t>t</w:t>
      </w:r>
      <w:r w:rsidRPr="006F7E81">
        <w:rPr>
          <w:rFonts w:ascii="Arial" w:hAnsi="Arial"/>
        </w:rPr>
        <w:t xml:space="preserve">he ability of local authorities to categorise spend in this way and any anticipated impacts this may have on homelessness </w:t>
      </w:r>
      <w:r w:rsidR="007455B3" w:rsidRPr="006F7E81">
        <w:rPr>
          <w:rFonts w:ascii="Arial" w:hAnsi="Arial"/>
        </w:rPr>
        <w:t>teams</w:t>
      </w:r>
      <w:r w:rsidRPr="006F7E81">
        <w:rPr>
          <w:rFonts w:ascii="Arial" w:hAnsi="Arial"/>
        </w:rPr>
        <w:t>.</w:t>
      </w:r>
    </w:p>
    <w:p w14:paraId="78A0CEE1" w14:textId="109FF27F" w:rsidR="005F742B" w:rsidRPr="00A72593" w:rsidRDefault="00027C0B" w:rsidP="0053710F">
      <w:pPr>
        <w:pStyle w:val="Default"/>
        <w:spacing w:after="120"/>
        <w:rPr>
          <w:rFonts w:ascii="Arial" w:eastAsia="Arial" w:hAnsi="Arial" w:cs="Arial"/>
          <w:b/>
          <w:bCs/>
          <w:color w:val="auto"/>
        </w:rPr>
      </w:pPr>
      <w:r>
        <w:rPr>
          <w:rFonts w:ascii="Arial" w:hAnsi="Arial" w:cs="Arial"/>
          <w:b/>
          <w:bCs/>
        </w:rPr>
        <w:t>Q1</w:t>
      </w:r>
      <w:r w:rsidR="00AE2F60">
        <w:rPr>
          <w:rFonts w:ascii="Arial" w:hAnsi="Arial" w:cs="Arial"/>
          <w:b/>
          <w:bCs/>
        </w:rPr>
        <w:t>3</w:t>
      </w:r>
      <w:r w:rsidR="001E1F60" w:rsidRPr="00027C0B">
        <w:rPr>
          <w:rFonts w:ascii="Arial" w:hAnsi="Arial" w:cs="Arial"/>
          <w:b/>
          <w:bCs/>
        </w:rPr>
        <w:t>. To what extent do you feel confident that local authorit</w:t>
      </w:r>
      <w:r w:rsidR="001C0885">
        <w:rPr>
          <w:rFonts w:ascii="Arial" w:hAnsi="Arial" w:cs="Arial"/>
          <w:b/>
          <w:bCs/>
        </w:rPr>
        <w:t>ies</w:t>
      </w:r>
      <w:r w:rsidR="001E1F60" w:rsidRPr="00027C0B">
        <w:rPr>
          <w:rFonts w:ascii="Arial" w:hAnsi="Arial" w:cs="Arial"/>
          <w:b/>
          <w:bCs/>
        </w:rPr>
        <w:t xml:space="preserve"> would be able to provide a yearly spend </w:t>
      </w:r>
      <w:r w:rsidR="001E1F60" w:rsidRPr="00A72593">
        <w:rPr>
          <w:rFonts w:ascii="Arial" w:hAnsi="Arial" w:cs="Arial"/>
          <w:b/>
          <w:bCs/>
          <w:color w:val="auto"/>
        </w:rPr>
        <w:t>declaration of HPG categorised under ‘</w:t>
      </w:r>
      <w:r w:rsidR="00900185" w:rsidRPr="00A72593">
        <w:rPr>
          <w:rFonts w:ascii="Arial" w:hAnsi="Arial" w:cs="Arial"/>
          <w:b/>
          <w:bCs/>
          <w:color w:val="auto"/>
        </w:rPr>
        <w:t>prevention and relief’</w:t>
      </w:r>
      <w:r w:rsidR="0076742F" w:rsidRPr="00A72593">
        <w:rPr>
          <w:rFonts w:ascii="Arial" w:hAnsi="Arial" w:cs="Arial"/>
          <w:b/>
          <w:bCs/>
          <w:color w:val="auto"/>
        </w:rPr>
        <w:t xml:space="preserve">, </w:t>
      </w:r>
      <w:r w:rsidR="007338AB" w:rsidRPr="00A72593">
        <w:rPr>
          <w:rFonts w:ascii="Arial" w:hAnsi="Arial" w:cs="Arial"/>
          <w:b/>
          <w:bCs/>
          <w:color w:val="auto"/>
        </w:rPr>
        <w:t>‘TA’ and ‘main duty/other’</w:t>
      </w:r>
      <w:r w:rsidR="001E1F60" w:rsidRPr="00A72593">
        <w:rPr>
          <w:rFonts w:ascii="Arial" w:hAnsi="Arial" w:cs="Arial"/>
          <w:b/>
          <w:bCs/>
          <w:color w:val="auto"/>
        </w:rPr>
        <w:t>? (</w:t>
      </w:r>
      <w:r w:rsidR="001E1F60" w:rsidRPr="00A72593">
        <w:rPr>
          <w:rFonts w:ascii="Arial" w:eastAsia="Arial" w:hAnsi="Arial" w:cs="Arial"/>
          <w:b/>
          <w:bCs/>
          <w:color w:val="auto"/>
        </w:rPr>
        <w:t>Very confident – Quite confident – Neutral – Slightly doubtful - Very Doubtful</w:t>
      </w:r>
      <w:r w:rsidR="00A9485D" w:rsidRPr="00A72593">
        <w:rPr>
          <w:rFonts w:ascii="Arial" w:eastAsia="Arial" w:hAnsi="Arial" w:cs="Arial"/>
          <w:b/>
          <w:bCs/>
          <w:color w:val="auto"/>
        </w:rPr>
        <w:t xml:space="preserve"> – Not sure</w:t>
      </w:r>
      <w:r w:rsidR="001E1F60" w:rsidRPr="00A72593">
        <w:rPr>
          <w:rFonts w:ascii="Arial" w:eastAsia="Arial" w:hAnsi="Arial" w:cs="Arial"/>
          <w:b/>
          <w:bCs/>
          <w:color w:val="auto"/>
        </w:rPr>
        <w:t>)</w:t>
      </w:r>
    </w:p>
    <w:p w14:paraId="4E910AF1" w14:textId="380D458D" w:rsidR="00E008C1" w:rsidRPr="00A72593" w:rsidRDefault="00027C0B" w:rsidP="0053710F">
      <w:pPr>
        <w:pStyle w:val="Default"/>
        <w:spacing w:after="120"/>
        <w:rPr>
          <w:rFonts w:ascii="Arial" w:hAnsi="Arial" w:cs="Arial"/>
          <w:b/>
          <w:bCs/>
          <w:color w:val="auto"/>
        </w:rPr>
      </w:pPr>
      <w:r w:rsidRPr="00A72593">
        <w:rPr>
          <w:rFonts w:ascii="Arial" w:eastAsia="Arial" w:hAnsi="Arial" w:cs="Arial"/>
          <w:b/>
          <w:bCs/>
          <w:color w:val="auto"/>
        </w:rPr>
        <w:t>Q1</w:t>
      </w:r>
      <w:r w:rsidR="003A09A8" w:rsidRPr="00A72593">
        <w:rPr>
          <w:rFonts w:ascii="Arial" w:eastAsia="Arial" w:hAnsi="Arial" w:cs="Arial"/>
          <w:b/>
          <w:bCs/>
          <w:color w:val="auto"/>
        </w:rPr>
        <w:t>4</w:t>
      </w:r>
      <w:r w:rsidR="00DF2992" w:rsidRPr="00A72593">
        <w:rPr>
          <w:rFonts w:ascii="Arial" w:eastAsia="Arial" w:hAnsi="Arial" w:cs="Arial"/>
          <w:b/>
          <w:bCs/>
          <w:color w:val="auto"/>
        </w:rPr>
        <w:t>.</w:t>
      </w:r>
      <w:r w:rsidR="00144FAC" w:rsidRPr="00A72593">
        <w:rPr>
          <w:rFonts w:ascii="Arial" w:hAnsi="Arial" w:cs="Arial"/>
          <w:b/>
          <w:bCs/>
          <w:color w:val="auto"/>
        </w:rPr>
        <w:t xml:space="preserve"> </w:t>
      </w:r>
      <w:r w:rsidR="00144FAC" w:rsidRPr="00A72593">
        <w:rPr>
          <w:rFonts w:ascii="Arial" w:hAnsi="Arial" w:cs="Arial"/>
          <w:b/>
          <w:bCs/>
          <w:color w:val="auto"/>
          <w:shd w:val="clear" w:color="auto" w:fill="FFFFFF"/>
        </w:rPr>
        <w:t xml:space="preserve">Please use this space to provide reasons for your answer and any further thoughts or comments on this proposal. </w:t>
      </w:r>
      <w:r w:rsidR="00122353" w:rsidRPr="00A72593">
        <w:rPr>
          <w:rFonts w:ascii="Arial" w:hAnsi="Arial" w:cs="Arial"/>
          <w:b/>
          <w:bCs/>
          <w:color w:val="auto"/>
        </w:rPr>
        <w:t>F</w:t>
      </w:r>
      <w:r w:rsidR="004C6A99" w:rsidRPr="00A72593">
        <w:rPr>
          <w:rFonts w:ascii="Arial" w:hAnsi="Arial" w:cs="Arial"/>
          <w:b/>
          <w:bCs/>
          <w:color w:val="auto"/>
        </w:rPr>
        <w:t>or example,</w:t>
      </w:r>
      <w:r w:rsidR="00735FE7" w:rsidRPr="00A72593">
        <w:rPr>
          <w:rFonts w:ascii="Arial" w:hAnsi="Arial" w:cs="Arial"/>
          <w:b/>
          <w:bCs/>
          <w:color w:val="auto"/>
        </w:rPr>
        <w:t xml:space="preserve"> whether</w:t>
      </w:r>
      <w:r w:rsidR="004C6A99" w:rsidRPr="00A72593">
        <w:rPr>
          <w:rFonts w:ascii="Arial" w:hAnsi="Arial" w:cs="Arial"/>
          <w:b/>
          <w:bCs/>
          <w:color w:val="auto"/>
        </w:rPr>
        <w:t xml:space="preserve"> </w:t>
      </w:r>
      <w:r w:rsidR="004C6A99" w:rsidRPr="00A72593">
        <w:rPr>
          <w:rFonts w:ascii="Arial" w:eastAsia="Arial" w:hAnsi="Arial" w:cs="Arial"/>
          <w:b/>
          <w:bCs/>
          <w:color w:val="auto"/>
        </w:rPr>
        <w:t>you think the above definition of ‘prevention</w:t>
      </w:r>
      <w:r w:rsidR="00DE7458" w:rsidRPr="00A72593">
        <w:rPr>
          <w:rFonts w:ascii="Arial" w:eastAsia="Arial" w:hAnsi="Arial" w:cs="Arial"/>
          <w:b/>
          <w:bCs/>
          <w:color w:val="auto"/>
        </w:rPr>
        <w:t xml:space="preserve"> and relief</w:t>
      </w:r>
      <w:r w:rsidR="004C6A99" w:rsidRPr="00A72593">
        <w:rPr>
          <w:rFonts w:ascii="Arial" w:eastAsia="Arial" w:hAnsi="Arial" w:cs="Arial"/>
          <w:b/>
          <w:bCs/>
          <w:color w:val="auto"/>
        </w:rPr>
        <w:t>’ spend</w:t>
      </w:r>
      <w:r w:rsidR="00735FE7" w:rsidRPr="00A72593">
        <w:rPr>
          <w:rFonts w:ascii="Arial" w:eastAsia="Arial" w:hAnsi="Arial" w:cs="Arial"/>
          <w:b/>
          <w:bCs/>
          <w:color w:val="auto"/>
        </w:rPr>
        <w:t xml:space="preserve"> (</w:t>
      </w:r>
      <w:r w:rsidR="004C6A99" w:rsidRPr="00A72593">
        <w:rPr>
          <w:rFonts w:ascii="Arial" w:eastAsia="Arial" w:hAnsi="Arial" w:cs="Arial"/>
          <w:b/>
          <w:bCs/>
          <w:color w:val="auto"/>
        </w:rPr>
        <w:t>as set out in para 5.</w:t>
      </w:r>
      <w:r w:rsidR="00BA5B4B" w:rsidRPr="00A72593">
        <w:rPr>
          <w:rFonts w:ascii="Arial" w:eastAsia="Arial" w:hAnsi="Arial" w:cs="Arial"/>
          <w:b/>
          <w:bCs/>
          <w:color w:val="auto"/>
        </w:rPr>
        <w:t>5</w:t>
      </w:r>
      <w:r w:rsidR="00735FE7" w:rsidRPr="00A72593">
        <w:rPr>
          <w:rFonts w:ascii="Arial" w:eastAsia="Arial" w:hAnsi="Arial" w:cs="Arial"/>
          <w:b/>
          <w:bCs/>
          <w:color w:val="auto"/>
        </w:rPr>
        <w:t>)</w:t>
      </w:r>
      <w:r w:rsidR="004C6A99" w:rsidRPr="00A72593">
        <w:rPr>
          <w:rFonts w:ascii="Arial" w:eastAsia="Arial" w:hAnsi="Arial" w:cs="Arial"/>
          <w:b/>
          <w:bCs/>
          <w:color w:val="auto"/>
        </w:rPr>
        <w:t xml:space="preserve"> is workable, if there are other spend categories which could constitute ‘prevention</w:t>
      </w:r>
      <w:r w:rsidR="00DE7458" w:rsidRPr="00A72593">
        <w:rPr>
          <w:rFonts w:ascii="Arial" w:eastAsia="Arial" w:hAnsi="Arial" w:cs="Arial"/>
          <w:b/>
          <w:bCs/>
          <w:color w:val="auto"/>
        </w:rPr>
        <w:t xml:space="preserve"> and relief</w:t>
      </w:r>
      <w:r w:rsidR="004C6A99" w:rsidRPr="00A72593">
        <w:rPr>
          <w:rFonts w:ascii="Arial" w:eastAsia="Arial" w:hAnsi="Arial" w:cs="Arial"/>
          <w:b/>
          <w:bCs/>
          <w:color w:val="auto"/>
        </w:rPr>
        <w:t>’ that we have not listed above</w:t>
      </w:r>
      <w:r w:rsidR="00E603A3" w:rsidRPr="00A72593">
        <w:rPr>
          <w:rFonts w:ascii="Arial" w:hAnsi="Arial" w:cs="Arial"/>
          <w:b/>
          <w:bCs/>
          <w:color w:val="auto"/>
        </w:rPr>
        <w:t xml:space="preserve">, </w:t>
      </w:r>
      <w:r w:rsidR="00122353" w:rsidRPr="00A72593">
        <w:rPr>
          <w:rFonts w:ascii="Arial" w:hAnsi="Arial" w:cs="Arial"/>
          <w:b/>
          <w:bCs/>
          <w:color w:val="auto"/>
        </w:rPr>
        <w:t>whether you have views on</w:t>
      </w:r>
      <w:r w:rsidR="00E603A3" w:rsidRPr="00A72593">
        <w:rPr>
          <w:rFonts w:ascii="Arial" w:hAnsi="Arial" w:cs="Arial"/>
          <w:b/>
          <w:bCs/>
          <w:color w:val="auto"/>
        </w:rPr>
        <w:t xml:space="preserve"> </w:t>
      </w:r>
      <w:r w:rsidR="001E1F60" w:rsidRPr="00A72593">
        <w:rPr>
          <w:rFonts w:ascii="Arial" w:hAnsi="Arial" w:cs="Arial"/>
          <w:b/>
          <w:bCs/>
          <w:color w:val="auto"/>
        </w:rPr>
        <w:t xml:space="preserve">the </w:t>
      </w:r>
      <w:r w:rsidR="006630D7" w:rsidRPr="00A72593">
        <w:rPr>
          <w:rFonts w:ascii="Arial" w:eastAsia="Calibri" w:hAnsi="Arial" w:cs="Arial"/>
          <w:b/>
          <w:bCs/>
          <w:color w:val="auto"/>
        </w:rPr>
        <w:t>local authority's ability to provide this information</w:t>
      </w:r>
      <w:r w:rsidR="00E603A3" w:rsidRPr="00A72593">
        <w:rPr>
          <w:rFonts w:ascii="Arial" w:eastAsia="Calibri" w:hAnsi="Arial" w:cs="Arial"/>
          <w:b/>
          <w:bCs/>
          <w:color w:val="auto"/>
        </w:rPr>
        <w:t xml:space="preserve">, or </w:t>
      </w:r>
      <w:r w:rsidR="00735FE7" w:rsidRPr="00A72593">
        <w:rPr>
          <w:rFonts w:ascii="Arial" w:eastAsia="Calibri" w:hAnsi="Arial" w:cs="Arial"/>
          <w:b/>
          <w:bCs/>
          <w:color w:val="auto"/>
        </w:rPr>
        <w:t xml:space="preserve">any additional </w:t>
      </w:r>
      <w:r w:rsidR="001E1F60" w:rsidRPr="00A72593">
        <w:rPr>
          <w:rFonts w:ascii="Arial" w:hAnsi="Arial" w:cs="Arial"/>
          <w:b/>
          <w:bCs/>
          <w:color w:val="auto"/>
        </w:rPr>
        <w:t>impact this extra reporting requirement may have? (500 word limit)</w:t>
      </w:r>
    </w:p>
    <w:p w14:paraId="1C94FD91" w14:textId="3E96E7F5" w:rsidR="0006037C" w:rsidRPr="005C5B52" w:rsidRDefault="002E621A" w:rsidP="00E314C6">
      <w:pPr>
        <w:pStyle w:val="Default"/>
        <w:spacing w:after="160"/>
        <w:rPr>
          <w:rFonts w:ascii="Arial" w:hAnsi="Arial" w:cs="Arial"/>
          <w:b/>
          <w:bCs/>
          <w:shd w:val="clear" w:color="auto" w:fill="FFFFFF"/>
        </w:rPr>
      </w:pPr>
      <w:r w:rsidRPr="002E621A">
        <w:rPr>
          <w:rStyle w:val="normaltextrun"/>
          <w:rFonts w:ascii="Arial" w:hAnsi="Arial" w:cs="Arial"/>
          <w:b/>
          <w:bCs/>
        </w:rPr>
        <w:lastRenderedPageBreak/>
        <w:t xml:space="preserve">Q15. </w:t>
      </w:r>
      <w:r w:rsidRPr="002E621A">
        <w:rPr>
          <w:rStyle w:val="normaltextrun"/>
          <w:rFonts w:ascii="Arial" w:hAnsi="Arial" w:cs="Arial"/>
          <w:b/>
          <w:bCs/>
          <w:shd w:val="clear" w:color="auto" w:fill="FFFFFF"/>
        </w:rPr>
        <w:t xml:space="preserve">Would it be possible for local authorities to provide a more granular breakdown of spend than those proposed – for example, reporting the amount spent on staffing/incentive payments for a new tenancy/clearing rent arrears? (Yes – No – Maybe – Not sure) </w:t>
      </w:r>
      <w:r w:rsidR="0083401A">
        <w:rPr>
          <w:rStyle w:val="normaltextrun"/>
          <w:rFonts w:ascii="Arial" w:hAnsi="Arial" w:cs="Arial"/>
          <w:b/>
          <w:bCs/>
          <w:shd w:val="clear" w:color="auto" w:fill="FFFFFF"/>
        </w:rPr>
        <w:t>Please explain why.</w:t>
      </w:r>
      <w:r w:rsidRPr="002E621A">
        <w:rPr>
          <w:rStyle w:val="normaltextrun"/>
          <w:rFonts w:ascii="Arial" w:hAnsi="Arial" w:cs="Arial"/>
          <w:b/>
          <w:bCs/>
          <w:shd w:val="clear" w:color="auto" w:fill="FFFFFF"/>
        </w:rPr>
        <w:t xml:space="preserve"> (</w:t>
      </w:r>
      <w:r>
        <w:rPr>
          <w:rStyle w:val="normaltextrun"/>
          <w:rFonts w:ascii="Arial" w:hAnsi="Arial" w:cs="Arial"/>
          <w:b/>
          <w:bCs/>
          <w:shd w:val="clear" w:color="auto" w:fill="FFFFFF"/>
        </w:rPr>
        <w:t>3</w:t>
      </w:r>
      <w:r w:rsidRPr="002E621A">
        <w:rPr>
          <w:rStyle w:val="normaltextrun"/>
          <w:rFonts w:ascii="Arial" w:hAnsi="Arial" w:cs="Arial"/>
          <w:b/>
          <w:bCs/>
          <w:shd w:val="clear" w:color="auto" w:fill="FFFFFF"/>
        </w:rPr>
        <w:t>00 word limit)</w:t>
      </w:r>
      <w:r w:rsidR="00864BCF">
        <w:rPr>
          <w:rStyle w:val="normaltextrun"/>
          <w:rFonts w:ascii="Arial" w:hAnsi="Arial" w:cs="Arial"/>
          <w:b/>
          <w:bCs/>
          <w:shd w:val="clear" w:color="auto" w:fill="FFFFFF"/>
        </w:rPr>
        <w:br w:type="page"/>
      </w:r>
    </w:p>
    <w:p w14:paraId="3D9E75B9" w14:textId="5A5560B6" w:rsidR="0006037C" w:rsidRPr="0006037C" w:rsidRDefault="0006037C" w:rsidP="00DC0608">
      <w:pPr>
        <w:pStyle w:val="ListParagraph"/>
        <w:numPr>
          <w:ilvl w:val="0"/>
          <w:numId w:val="26"/>
        </w:numPr>
        <w:spacing w:after="160" w:line="257" w:lineRule="auto"/>
        <w:rPr>
          <w:rFonts w:ascii="Arial" w:eastAsia="Arial" w:hAnsi="Arial"/>
          <w:u w:val="single"/>
        </w:rPr>
      </w:pPr>
      <w:r w:rsidRPr="0006037C">
        <w:rPr>
          <w:rFonts w:ascii="Arial" w:eastAsia="Arial" w:hAnsi="Arial"/>
          <w:sz w:val="36"/>
          <w:szCs w:val="36"/>
        </w:rPr>
        <w:lastRenderedPageBreak/>
        <w:t>Introducing tranche payments</w:t>
      </w:r>
      <w:r w:rsidRPr="00C48A6D">
        <w:rPr>
          <w:rFonts w:ascii="Arial" w:eastAsia="Arial" w:hAnsi="Arial"/>
          <w:sz w:val="36"/>
          <w:szCs w:val="36"/>
        </w:rPr>
        <w:t xml:space="preserve"> with conditions</w:t>
      </w:r>
    </w:p>
    <w:p w14:paraId="03171DB7" w14:textId="77777777" w:rsidR="0006037C" w:rsidRPr="005C08A5" w:rsidRDefault="0006037C" w:rsidP="005C08A5">
      <w:pPr>
        <w:spacing w:after="120"/>
        <w:rPr>
          <w:rFonts w:cs="Arial"/>
          <w:b/>
          <w:bCs/>
        </w:rPr>
      </w:pPr>
      <w:r w:rsidRPr="0006037C">
        <w:rPr>
          <w:rFonts w:cs="Arial"/>
          <w:b/>
          <w:bCs/>
          <w:sz w:val="26"/>
          <w:szCs w:val="26"/>
        </w:rPr>
        <w:t>Background: H-CLIC data collection</w:t>
      </w:r>
    </w:p>
    <w:p w14:paraId="7BEB0101" w14:textId="186C1611" w:rsidR="001C0C4E" w:rsidRPr="001C0C4E" w:rsidRDefault="0006037C" w:rsidP="004B34FA">
      <w:pPr>
        <w:pStyle w:val="ListParagraph"/>
        <w:numPr>
          <w:ilvl w:val="1"/>
          <w:numId w:val="22"/>
        </w:numPr>
        <w:spacing w:after="120" w:line="259" w:lineRule="auto"/>
        <w:contextualSpacing w:val="0"/>
        <w:rPr>
          <w:rFonts w:ascii="Arial" w:hAnsi="Arial"/>
        </w:rPr>
      </w:pPr>
      <w:r w:rsidRPr="001C0C4E">
        <w:rPr>
          <w:rFonts w:ascii="Arial" w:hAnsi="Arial"/>
        </w:rPr>
        <w:t xml:space="preserve">Local authorities in receipt of the Homelessness Prevention Grant are currently asked to submit data returns to DLUHC via the Homelessness Case Level Information Collection (H-CLIC), which inform the </w:t>
      </w:r>
      <w:r w:rsidRPr="00C48A6D">
        <w:rPr>
          <w:rFonts w:ascii="Arial" w:hAnsi="Arial"/>
        </w:rPr>
        <w:t xml:space="preserve">statutory national </w:t>
      </w:r>
      <w:r w:rsidRPr="001C0C4E">
        <w:rPr>
          <w:rFonts w:ascii="Arial" w:hAnsi="Arial"/>
        </w:rPr>
        <w:t xml:space="preserve">homelessness statistics. This data provides invaluable insight into homelessness trends across England, providing case-level data on homeless households, including those in temporary accommodation. The statistics are used to track national and local progress on reducing </w:t>
      </w:r>
      <w:r w:rsidRPr="00C48A6D">
        <w:rPr>
          <w:rFonts w:ascii="Arial" w:hAnsi="Arial"/>
        </w:rPr>
        <w:t>homelessness</w:t>
      </w:r>
      <w:r w:rsidRPr="001C0C4E">
        <w:rPr>
          <w:rFonts w:ascii="Arial" w:hAnsi="Arial"/>
        </w:rPr>
        <w:t>, to drive performance, and to inform government policy.</w:t>
      </w:r>
    </w:p>
    <w:p w14:paraId="34FCC505" w14:textId="77777777" w:rsidR="001C0C4E" w:rsidRPr="001C0C4E" w:rsidRDefault="0006037C" w:rsidP="004B34FA">
      <w:pPr>
        <w:pStyle w:val="ListParagraph"/>
        <w:numPr>
          <w:ilvl w:val="1"/>
          <w:numId w:val="22"/>
        </w:numPr>
        <w:spacing w:after="120" w:line="259" w:lineRule="auto"/>
        <w:contextualSpacing w:val="0"/>
        <w:rPr>
          <w:rStyle w:val="Hyperlink"/>
          <w:rFonts w:ascii="Arial" w:hAnsi="Arial"/>
          <w:color w:val="auto"/>
          <w:u w:val="none"/>
        </w:rPr>
      </w:pPr>
      <w:r w:rsidRPr="001C0C4E">
        <w:rPr>
          <w:rFonts w:ascii="Arial" w:hAnsi="Arial"/>
        </w:rPr>
        <w:t xml:space="preserve">The homelessness performance dashboard shows statistics indicating LA homelessness performance and shows an overall RAG rating of the H-CLIC data provided: </w:t>
      </w:r>
      <w:hyperlink r:id="rId21">
        <w:r w:rsidRPr="001C0C4E">
          <w:rPr>
            <w:rStyle w:val="Hyperlink"/>
            <w:rFonts w:ascii="Arial" w:hAnsi="Arial"/>
          </w:rPr>
          <w:t>Homelessness Performance Dashboard</w:t>
        </w:r>
      </w:hyperlink>
    </w:p>
    <w:p w14:paraId="4AC462A5" w14:textId="65FF502D" w:rsidR="001C0C4E" w:rsidRPr="001C0C4E" w:rsidRDefault="00B41A3C" w:rsidP="00BC0267">
      <w:pPr>
        <w:pStyle w:val="ListParagraph"/>
        <w:numPr>
          <w:ilvl w:val="1"/>
          <w:numId w:val="22"/>
        </w:numPr>
        <w:spacing w:after="120" w:line="259" w:lineRule="auto"/>
        <w:contextualSpacing w:val="0"/>
        <w:rPr>
          <w:rFonts w:ascii="Arial" w:hAnsi="Arial"/>
        </w:rPr>
      </w:pPr>
      <w:r w:rsidRPr="53EF9F7E">
        <w:rPr>
          <w:rFonts w:ascii="Arial" w:hAnsi="Arial"/>
        </w:rPr>
        <w:t>Most</w:t>
      </w:r>
      <w:r w:rsidR="0006037C" w:rsidRPr="53EF9F7E">
        <w:rPr>
          <w:rFonts w:ascii="Arial" w:hAnsi="Arial"/>
        </w:rPr>
        <w:t xml:space="preserve"> local authorities consistently provide high-quality H-CLIC returns on time.</w:t>
      </w:r>
      <w:r w:rsidR="001C0C4E" w:rsidRPr="53EF9F7E">
        <w:rPr>
          <w:rFonts w:ascii="Arial" w:hAnsi="Arial"/>
        </w:rPr>
        <w:t xml:space="preserve"> </w:t>
      </w:r>
      <w:r w:rsidR="0006037C" w:rsidRPr="53EF9F7E">
        <w:rPr>
          <w:rFonts w:ascii="Arial" w:hAnsi="Arial"/>
        </w:rPr>
        <w:t xml:space="preserve">However, there is room for improvement - a small but nonetheless sizeable proportion of </w:t>
      </w:r>
      <w:r w:rsidR="00492CB0">
        <w:rPr>
          <w:rFonts w:ascii="Arial" w:hAnsi="Arial"/>
        </w:rPr>
        <w:t>authorities</w:t>
      </w:r>
      <w:r w:rsidR="0006037C" w:rsidRPr="53EF9F7E">
        <w:rPr>
          <w:rFonts w:ascii="Arial" w:hAnsi="Arial"/>
        </w:rPr>
        <w:t xml:space="preserve"> fail to provide complete or accurate returns, or do not provide the returns on time</w:t>
      </w:r>
      <w:r w:rsidR="005C08A5" w:rsidRPr="53EF9F7E">
        <w:rPr>
          <w:rFonts w:ascii="Arial" w:hAnsi="Arial"/>
        </w:rPr>
        <w:t xml:space="preserve">. </w:t>
      </w:r>
      <w:r w:rsidR="00D67B9F" w:rsidRPr="53EF9F7E">
        <w:rPr>
          <w:rFonts w:ascii="Arial" w:hAnsi="Arial"/>
        </w:rPr>
        <w:t>In October – December 2021,</w:t>
      </w:r>
      <w:r w:rsidR="005C08A5" w:rsidRPr="53EF9F7E">
        <w:rPr>
          <w:rFonts w:ascii="Arial" w:hAnsi="Arial"/>
        </w:rPr>
        <w:t xml:space="preserve"> 8% of local authorities failed to submit </w:t>
      </w:r>
      <w:r w:rsidR="005B352D" w:rsidRPr="53EF9F7E">
        <w:rPr>
          <w:rFonts w:ascii="Arial" w:hAnsi="Arial"/>
        </w:rPr>
        <w:t>accurate</w:t>
      </w:r>
      <w:r w:rsidR="000F4564" w:rsidRPr="53EF9F7E">
        <w:rPr>
          <w:rFonts w:ascii="Arial" w:hAnsi="Arial"/>
        </w:rPr>
        <w:t xml:space="preserve"> </w:t>
      </w:r>
      <w:r w:rsidR="005C08A5" w:rsidRPr="53EF9F7E">
        <w:rPr>
          <w:rFonts w:ascii="Arial" w:hAnsi="Arial"/>
        </w:rPr>
        <w:t>TA data</w:t>
      </w:r>
      <w:r w:rsidR="006E1CE1" w:rsidRPr="53EF9F7E">
        <w:rPr>
          <w:rFonts w:ascii="Arial" w:hAnsi="Arial"/>
        </w:rPr>
        <w:t xml:space="preserve"> (</w:t>
      </w:r>
      <w:r w:rsidR="00B35426" w:rsidRPr="53EF9F7E">
        <w:rPr>
          <w:rFonts w:ascii="Arial" w:hAnsi="Arial"/>
        </w:rPr>
        <w:t>estimated to account</w:t>
      </w:r>
      <w:r w:rsidR="001E10CD" w:rsidRPr="53EF9F7E">
        <w:rPr>
          <w:rFonts w:ascii="Arial" w:hAnsi="Arial"/>
        </w:rPr>
        <w:t xml:space="preserve"> for 21% of households in TA in England)</w:t>
      </w:r>
      <w:r w:rsidR="005C08A5" w:rsidRPr="53EF9F7E">
        <w:rPr>
          <w:rFonts w:ascii="Arial" w:hAnsi="Arial"/>
        </w:rPr>
        <w:t>, and 2</w:t>
      </w:r>
      <w:r w:rsidR="0006037C" w:rsidRPr="53EF9F7E">
        <w:rPr>
          <w:rFonts w:ascii="Arial" w:hAnsi="Arial"/>
        </w:rPr>
        <w:t>% of local authorities supplied</w:t>
      </w:r>
      <w:r w:rsidR="00141B58" w:rsidRPr="53EF9F7E">
        <w:rPr>
          <w:rFonts w:ascii="Arial" w:hAnsi="Arial"/>
        </w:rPr>
        <w:t xml:space="preserve"> low quality</w:t>
      </w:r>
      <w:r w:rsidR="0006037C" w:rsidRPr="53EF9F7E">
        <w:rPr>
          <w:rFonts w:ascii="Arial" w:hAnsi="Arial"/>
        </w:rPr>
        <w:t xml:space="preserve"> H-CLIC data with </w:t>
      </w:r>
      <w:r w:rsidR="001B0D87" w:rsidRPr="53EF9F7E">
        <w:rPr>
          <w:rFonts w:ascii="Arial" w:hAnsi="Arial"/>
        </w:rPr>
        <w:t>over 15% of cases submitted with errors</w:t>
      </w:r>
      <w:r w:rsidR="009355A2" w:rsidRPr="53EF9F7E">
        <w:rPr>
          <w:rFonts w:ascii="Arial" w:hAnsi="Arial"/>
        </w:rPr>
        <w:t>. This affects</w:t>
      </w:r>
      <w:r w:rsidR="001D1D1B" w:rsidRPr="53EF9F7E">
        <w:rPr>
          <w:rFonts w:ascii="Arial" w:hAnsi="Arial"/>
        </w:rPr>
        <w:t xml:space="preserve"> </w:t>
      </w:r>
      <w:r w:rsidR="0006037C" w:rsidRPr="53EF9F7E">
        <w:rPr>
          <w:rFonts w:ascii="Arial" w:hAnsi="Arial"/>
        </w:rPr>
        <w:t xml:space="preserve">the overall quality of England’s homelessness </w:t>
      </w:r>
      <w:r w:rsidR="00154563" w:rsidRPr="53EF9F7E">
        <w:rPr>
          <w:rFonts w:ascii="Arial" w:hAnsi="Arial"/>
        </w:rPr>
        <w:t>statistics</w:t>
      </w:r>
      <w:r w:rsidR="008B0E98" w:rsidRPr="53EF9F7E">
        <w:rPr>
          <w:rFonts w:ascii="Arial" w:hAnsi="Arial"/>
        </w:rPr>
        <w:t>, and also</w:t>
      </w:r>
      <w:r w:rsidR="0076464B" w:rsidRPr="53EF9F7E">
        <w:rPr>
          <w:rFonts w:ascii="Arial" w:hAnsi="Arial"/>
        </w:rPr>
        <w:t xml:space="preserve"> risks the Homelessness Prevention Grant funding allocations not fully reflecting local pressures. </w:t>
      </w:r>
      <w:r w:rsidR="0006037C" w:rsidRPr="53EF9F7E">
        <w:rPr>
          <w:rFonts w:ascii="Arial" w:hAnsi="Arial"/>
        </w:rPr>
        <w:t>Poor data reporting is particularly acute for certain datasets –</w:t>
      </w:r>
      <w:r w:rsidR="005C08A5" w:rsidRPr="53EF9F7E">
        <w:rPr>
          <w:rFonts w:ascii="Arial" w:hAnsi="Arial"/>
        </w:rPr>
        <w:t xml:space="preserve"> such as</w:t>
      </w:r>
      <w:r w:rsidR="0006037C" w:rsidRPr="53EF9F7E">
        <w:rPr>
          <w:rFonts w:ascii="Arial" w:hAnsi="Arial"/>
        </w:rPr>
        <w:t xml:space="preserve"> for TA figures</w:t>
      </w:r>
      <w:r w:rsidR="008B0E98" w:rsidRPr="53EF9F7E">
        <w:rPr>
          <w:rFonts w:ascii="Arial" w:hAnsi="Arial"/>
        </w:rPr>
        <w:t>.</w:t>
      </w:r>
    </w:p>
    <w:p w14:paraId="7661F81E" w14:textId="724C9F22" w:rsidR="00C11750" w:rsidRPr="001C0C4E" w:rsidRDefault="00102C91" w:rsidP="00C48A6D">
      <w:pPr>
        <w:pStyle w:val="ListParagraph"/>
        <w:numPr>
          <w:ilvl w:val="1"/>
          <w:numId w:val="22"/>
        </w:numPr>
        <w:spacing w:after="120" w:line="259" w:lineRule="auto"/>
        <w:rPr>
          <w:rFonts w:ascii="Arial" w:hAnsi="Arial"/>
        </w:rPr>
      </w:pPr>
      <w:r>
        <w:rPr>
          <w:rFonts w:ascii="Arial" w:hAnsi="Arial"/>
        </w:rPr>
        <w:t>Upon the</w:t>
      </w:r>
      <w:r w:rsidR="00C11750" w:rsidRPr="001C0C4E">
        <w:rPr>
          <w:rFonts w:ascii="Arial" w:hAnsi="Arial"/>
        </w:rPr>
        <w:t xml:space="preserve"> implementation </w:t>
      </w:r>
      <w:r>
        <w:rPr>
          <w:rFonts w:ascii="Arial" w:hAnsi="Arial"/>
        </w:rPr>
        <w:t xml:space="preserve">of H-CLIC, the </w:t>
      </w:r>
      <w:r w:rsidR="00A06413">
        <w:rPr>
          <w:rFonts w:ascii="Arial" w:hAnsi="Arial"/>
        </w:rPr>
        <w:t>g</w:t>
      </w:r>
      <w:r>
        <w:rPr>
          <w:rFonts w:ascii="Arial" w:hAnsi="Arial"/>
        </w:rPr>
        <w:t>overnment</w:t>
      </w:r>
      <w:r w:rsidRPr="001C0C4E">
        <w:rPr>
          <w:rFonts w:ascii="Arial" w:hAnsi="Arial"/>
        </w:rPr>
        <w:t xml:space="preserve"> </w:t>
      </w:r>
      <w:r w:rsidR="00C11750" w:rsidRPr="001C0C4E">
        <w:rPr>
          <w:rFonts w:ascii="Arial" w:hAnsi="Arial"/>
        </w:rPr>
        <w:t xml:space="preserve">recognised that the change </w:t>
      </w:r>
      <w:r w:rsidR="000737E2" w:rsidRPr="001C0C4E">
        <w:rPr>
          <w:rFonts w:ascii="Arial" w:hAnsi="Arial"/>
        </w:rPr>
        <w:t>to</w:t>
      </w:r>
      <w:r w:rsidR="00C11750" w:rsidRPr="001C0C4E">
        <w:rPr>
          <w:rFonts w:ascii="Arial" w:hAnsi="Arial"/>
        </w:rPr>
        <w:t xml:space="preserve"> reporting </w:t>
      </w:r>
      <w:r w:rsidR="000737E2" w:rsidRPr="001C0C4E">
        <w:rPr>
          <w:rFonts w:ascii="Arial" w:hAnsi="Arial"/>
        </w:rPr>
        <w:t xml:space="preserve">via H-CLIC was </w:t>
      </w:r>
      <w:r w:rsidR="00C11750" w:rsidRPr="001C0C4E">
        <w:rPr>
          <w:rFonts w:ascii="Arial" w:hAnsi="Arial"/>
        </w:rPr>
        <w:t>significant</w:t>
      </w:r>
      <w:r w:rsidR="000737E2" w:rsidRPr="001C0C4E">
        <w:rPr>
          <w:rFonts w:ascii="Arial" w:hAnsi="Arial"/>
        </w:rPr>
        <w:t>,</w:t>
      </w:r>
      <w:r w:rsidR="00C11750" w:rsidRPr="001C0C4E">
        <w:rPr>
          <w:rFonts w:ascii="Arial" w:hAnsi="Arial"/>
        </w:rPr>
        <w:t xml:space="preserve"> and has taken a phased approach over a number of years</w:t>
      </w:r>
      <w:r w:rsidR="000737E2" w:rsidRPr="001C0C4E">
        <w:rPr>
          <w:rFonts w:ascii="Arial" w:hAnsi="Arial"/>
        </w:rPr>
        <w:t xml:space="preserve"> for this reason</w:t>
      </w:r>
      <w:r w:rsidR="00C11750" w:rsidRPr="001C0C4E">
        <w:rPr>
          <w:rFonts w:ascii="Arial" w:hAnsi="Arial"/>
        </w:rPr>
        <w:t>. The Homelessness Advice and Support Team (HAST</w:t>
      </w:r>
      <w:r w:rsidR="00C11750" w:rsidRPr="00C48A6D">
        <w:rPr>
          <w:rFonts w:ascii="Arial" w:hAnsi="Arial"/>
        </w:rPr>
        <w:t>), including expert advisers from local authorities and the sector seconded to DLUHC,</w:t>
      </w:r>
      <w:r w:rsidR="00C11750" w:rsidRPr="001C0C4E">
        <w:rPr>
          <w:rFonts w:ascii="Arial" w:hAnsi="Arial"/>
        </w:rPr>
        <w:t xml:space="preserve"> have worked closely with local authorities to quality check data returns, and local authorities have been provided with </w:t>
      </w:r>
      <w:r w:rsidR="00FD78F2" w:rsidRPr="001C0C4E">
        <w:rPr>
          <w:rFonts w:ascii="Arial" w:hAnsi="Arial"/>
        </w:rPr>
        <w:t>£3m in targeted</w:t>
      </w:r>
      <w:r w:rsidR="00C11750" w:rsidRPr="001C0C4E">
        <w:rPr>
          <w:rFonts w:ascii="Arial" w:hAnsi="Arial"/>
        </w:rPr>
        <w:t xml:space="preserve"> funding to support them to update their IT systems and comply with the data requirements. Given these measures, and the fact that H-CLIC</w:t>
      </w:r>
      <w:r w:rsidR="005109B3" w:rsidRPr="001C0C4E">
        <w:rPr>
          <w:rFonts w:ascii="Arial" w:hAnsi="Arial"/>
        </w:rPr>
        <w:t xml:space="preserve"> reporting requirements</w:t>
      </w:r>
      <w:r w:rsidR="00C11750" w:rsidRPr="001C0C4E">
        <w:rPr>
          <w:rFonts w:ascii="Arial" w:hAnsi="Arial"/>
        </w:rPr>
        <w:t xml:space="preserve"> </w:t>
      </w:r>
      <w:r w:rsidR="00FD78F2" w:rsidRPr="001C0C4E">
        <w:rPr>
          <w:rFonts w:ascii="Arial" w:hAnsi="Arial"/>
        </w:rPr>
        <w:t xml:space="preserve">have </w:t>
      </w:r>
      <w:r w:rsidR="00C11750" w:rsidRPr="001C0C4E">
        <w:rPr>
          <w:rFonts w:ascii="Arial" w:hAnsi="Arial"/>
        </w:rPr>
        <w:t xml:space="preserve">now been in </w:t>
      </w:r>
      <w:r w:rsidR="00C11750" w:rsidRPr="00C48A6D">
        <w:rPr>
          <w:rFonts w:ascii="Arial" w:hAnsi="Arial"/>
        </w:rPr>
        <w:t xml:space="preserve">place </w:t>
      </w:r>
      <w:r w:rsidR="00C11750" w:rsidRPr="001C0C4E">
        <w:rPr>
          <w:rFonts w:ascii="Arial" w:hAnsi="Arial"/>
        </w:rPr>
        <w:t xml:space="preserve">for the past </w:t>
      </w:r>
      <w:r w:rsidR="00FD78F2" w:rsidRPr="00C48A6D">
        <w:rPr>
          <w:rFonts w:ascii="Arial" w:hAnsi="Arial"/>
        </w:rPr>
        <w:t>five</w:t>
      </w:r>
      <w:r w:rsidR="00C11750" w:rsidRPr="001C0C4E">
        <w:rPr>
          <w:rFonts w:ascii="Arial" w:hAnsi="Arial"/>
        </w:rPr>
        <w:t xml:space="preserve"> years, we do not consider it reasonable that some LAs are still failing to submit data appropriately.</w:t>
      </w:r>
    </w:p>
    <w:p w14:paraId="0485F99E" w14:textId="45435328" w:rsidR="005C08A5" w:rsidRDefault="0006037C" w:rsidP="005C08A5">
      <w:pPr>
        <w:spacing w:after="120"/>
        <w:rPr>
          <w:rFonts w:cs="Arial"/>
          <w:b/>
          <w:bCs/>
          <w:sz w:val="26"/>
          <w:szCs w:val="26"/>
        </w:rPr>
      </w:pPr>
      <w:r w:rsidRPr="005C08A5">
        <w:rPr>
          <w:rFonts w:cs="Arial"/>
          <w:b/>
          <w:bCs/>
          <w:sz w:val="26"/>
          <w:szCs w:val="26"/>
        </w:rPr>
        <w:t>Introduction of tranche payments to drive better H-CLIC data reporting</w:t>
      </w:r>
    </w:p>
    <w:p w14:paraId="2D92BFBE" w14:textId="464DF262" w:rsidR="0006037C" w:rsidRPr="0046127F" w:rsidRDefault="005C08A5" w:rsidP="00976546">
      <w:pPr>
        <w:pStyle w:val="ListParagraph"/>
        <w:numPr>
          <w:ilvl w:val="1"/>
          <w:numId w:val="22"/>
        </w:numPr>
        <w:spacing w:after="120"/>
        <w:contextualSpacing w:val="0"/>
        <w:rPr>
          <w:rFonts w:ascii="Arial" w:hAnsi="Arial"/>
          <w:b/>
          <w:bCs/>
        </w:rPr>
      </w:pPr>
      <w:r w:rsidRPr="0046127F">
        <w:rPr>
          <w:rFonts w:ascii="Arial" w:hAnsi="Arial"/>
        </w:rPr>
        <w:t>I</w:t>
      </w:r>
      <w:r w:rsidR="0006037C" w:rsidRPr="0046127F">
        <w:rPr>
          <w:rFonts w:ascii="Arial" w:hAnsi="Arial"/>
        </w:rPr>
        <w:t>n order to drive the performance of consistent H-CLIC reporting, we propose to introduce tranche payments for the Homelessness Prevention Grant. This would be a change from the current system, whereby the entire year</w:t>
      </w:r>
      <w:r w:rsidR="002E71D4">
        <w:rPr>
          <w:rFonts w:ascii="Arial" w:hAnsi="Arial"/>
        </w:rPr>
        <w:t>’</w:t>
      </w:r>
      <w:r w:rsidR="0006037C" w:rsidRPr="0046127F">
        <w:rPr>
          <w:rFonts w:ascii="Arial" w:hAnsi="Arial"/>
        </w:rPr>
        <w:t xml:space="preserve">s funding is paid upfront in April. This proposal would mean that </w:t>
      </w:r>
      <w:r w:rsidR="00581652" w:rsidRPr="0046127F">
        <w:rPr>
          <w:rFonts w:ascii="Arial" w:hAnsi="Arial"/>
        </w:rPr>
        <w:t>75</w:t>
      </w:r>
      <w:r w:rsidR="001D5DFA" w:rsidRPr="0046127F">
        <w:rPr>
          <w:rFonts w:ascii="Arial" w:hAnsi="Arial"/>
        </w:rPr>
        <w:t xml:space="preserve">% </w:t>
      </w:r>
      <w:r w:rsidR="0006037C" w:rsidRPr="0046127F">
        <w:rPr>
          <w:rFonts w:ascii="Arial" w:hAnsi="Arial"/>
        </w:rPr>
        <w:t xml:space="preserve">of the funding would be released at the beginning of the financial year (tranche 1), and the remaining </w:t>
      </w:r>
      <w:r w:rsidR="00581652" w:rsidRPr="0046127F">
        <w:rPr>
          <w:rFonts w:ascii="Arial" w:hAnsi="Arial"/>
        </w:rPr>
        <w:t>25</w:t>
      </w:r>
      <w:r w:rsidR="0006037C" w:rsidRPr="0046127F">
        <w:rPr>
          <w:rFonts w:ascii="Arial" w:hAnsi="Arial"/>
        </w:rPr>
        <w:t xml:space="preserve">% would be released </w:t>
      </w:r>
      <w:r w:rsidR="00963D18" w:rsidRPr="0046127F">
        <w:rPr>
          <w:rFonts w:ascii="Arial" w:hAnsi="Arial"/>
        </w:rPr>
        <w:t xml:space="preserve">later in the financial year </w:t>
      </w:r>
      <w:r w:rsidR="0006037C" w:rsidRPr="0046127F">
        <w:rPr>
          <w:rFonts w:ascii="Arial" w:hAnsi="Arial"/>
        </w:rPr>
        <w:t>(tranche 2), on the condition that the LA in question:</w:t>
      </w:r>
    </w:p>
    <w:p w14:paraId="71D2AF7E" w14:textId="2AC613B5" w:rsidR="0006037C" w:rsidRDefault="0006037C" w:rsidP="00313243">
      <w:pPr>
        <w:pStyle w:val="ListParagraph"/>
        <w:numPr>
          <w:ilvl w:val="0"/>
          <w:numId w:val="16"/>
        </w:numPr>
        <w:spacing w:line="259" w:lineRule="auto"/>
        <w:ind w:hanging="357"/>
        <w:rPr>
          <w:rFonts w:ascii="Arial" w:hAnsi="Arial"/>
        </w:rPr>
      </w:pPr>
      <w:r w:rsidRPr="005C08A5">
        <w:rPr>
          <w:rFonts w:ascii="Arial" w:hAnsi="Arial"/>
        </w:rPr>
        <w:t xml:space="preserve">Has </w:t>
      </w:r>
      <w:r w:rsidR="00395561">
        <w:rPr>
          <w:rFonts w:ascii="Arial" w:hAnsi="Arial"/>
        </w:rPr>
        <w:t xml:space="preserve">completed their </w:t>
      </w:r>
      <w:r w:rsidR="00407E2C">
        <w:rPr>
          <w:rFonts w:ascii="Arial" w:hAnsi="Arial"/>
        </w:rPr>
        <w:t xml:space="preserve">Q2 </w:t>
      </w:r>
      <w:r w:rsidR="00395561">
        <w:rPr>
          <w:rFonts w:ascii="Arial" w:hAnsi="Arial"/>
        </w:rPr>
        <w:t>H-CLIC return</w:t>
      </w:r>
      <w:r w:rsidR="00407E2C">
        <w:rPr>
          <w:rFonts w:ascii="Arial" w:hAnsi="Arial"/>
        </w:rPr>
        <w:t xml:space="preserve">, </w:t>
      </w:r>
      <w:r w:rsidR="007374E3">
        <w:rPr>
          <w:rFonts w:ascii="Arial" w:hAnsi="Arial"/>
        </w:rPr>
        <w:t xml:space="preserve">including full TA </w:t>
      </w:r>
      <w:r w:rsidR="00AE0C2A">
        <w:rPr>
          <w:rFonts w:ascii="Arial" w:hAnsi="Arial"/>
        </w:rPr>
        <w:t>figures</w:t>
      </w:r>
      <w:r w:rsidR="00E314C6">
        <w:rPr>
          <w:rFonts w:ascii="Arial" w:hAnsi="Arial"/>
        </w:rPr>
        <w:t>,</w:t>
      </w:r>
      <w:r w:rsidRPr="005C08A5">
        <w:rPr>
          <w:rFonts w:ascii="Arial" w:hAnsi="Arial"/>
        </w:rPr>
        <w:t xml:space="preserve"> </w:t>
      </w:r>
      <w:r w:rsidR="00984510" w:rsidRPr="00E314C6">
        <w:rPr>
          <w:rFonts w:ascii="Arial" w:hAnsi="Arial"/>
          <w:u w:val="single"/>
        </w:rPr>
        <w:t>and</w:t>
      </w:r>
    </w:p>
    <w:p w14:paraId="3C3B6391" w14:textId="6592A763" w:rsidR="001C0C4E" w:rsidRPr="00984510" w:rsidRDefault="008677E3" w:rsidP="00984510">
      <w:pPr>
        <w:pStyle w:val="ListParagraph"/>
        <w:numPr>
          <w:ilvl w:val="0"/>
          <w:numId w:val="16"/>
        </w:numPr>
        <w:spacing w:after="120" w:line="259" w:lineRule="auto"/>
        <w:ind w:hanging="357"/>
        <w:contextualSpacing w:val="0"/>
        <w:rPr>
          <w:rFonts w:ascii="Arial" w:hAnsi="Arial"/>
        </w:rPr>
      </w:pPr>
      <w:r w:rsidRPr="53EF9F7E">
        <w:rPr>
          <w:rFonts w:ascii="Arial" w:hAnsi="Arial"/>
        </w:rPr>
        <w:lastRenderedPageBreak/>
        <w:t xml:space="preserve">The data </w:t>
      </w:r>
      <w:r w:rsidR="00AE541F" w:rsidRPr="53EF9F7E">
        <w:rPr>
          <w:rFonts w:ascii="Arial" w:hAnsi="Arial"/>
        </w:rPr>
        <w:t xml:space="preserve">submitted </w:t>
      </w:r>
      <w:r w:rsidR="00FE6A27" w:rsidRPr="53EF9F7E">
        <w:rPr>
          <w:rFonts w:ascii="Arial" w:hAnsi="Arial"/>
        </w:rPr>
        <w:t>is</w:t>
      </w:r>
      <w:r w:rsidRPr="53EF9F7E">
        <w:rPr>
          <w:rFonts w:ascii="Arial" w:hAnsi="Arial"/>
        </w:rPr>
        <w:t xml:space="preserve"> publishable (as defined by the</w:t>
      </w:r>
      <w:r w:rsidR="008C193D" w:rsidRPr="53EF9F7E">
        <w:rPr>
          <w:rFonts w:ascii="Arial" w:hAnsi="Arial"/>
        </w:rPr>
        <w:t xml:space="preserve"> fourth</w:t>
      </w:r>
      <w:r w:rsidR="00CE1B8C" w:rsidRPr="53EF9F7E">
        <w:rPr>
          <w:rFonts w:ascii="Arial" w:hAnsi="Arial"/>
        </w:rPr>
        <w:t xml:space="preserve"> </w:t>
      </w:r>
      <w:r w:rsidRPr="53EF9F7E">
        <w:rPr>
          <w:rFonts w:ascii="Arial" w:hAnsi="Arial"/>
        </w:rPr>
        <w:t xml:space="preserve">quality </w:t>
      </w:r>
      <w:r w:rsidR="007A243F" w:rsidRPr="53EF9F7E">
        <w:rPr>
          <w:rFonts w:ascii="Arial" w:hAnsi="Arial"/>
        </w:rPr>
        <w:t xml:space="preserve">measure </w:t>
      </w:r>
      <w:r w:rsidR="00CE1B8C" w:rsidRPr="53EF9F7E">
        <w:rPr>
          <w:rFonts w:ascii="Arial" w:hAnsi="Arial"/>
        </w:rPr>
        <w:t>on the performance dashboard</w:t>
      </w:r>
      <w:r w:rsidRPr="53EF9F7E">
        <w:rPr>
          <w:rStyle w:val="FootnoteReference"/>
          <w:rFonts w:ascii="Arial" w:hAnsi="Arial"/>
        </w:rPr>
        <w:footnoteReference w:id="9"/>
      </w:r>
      <w:r w:rsidRPr="53EF9F7E">
        <w:rPr>
          <w:rFonts w:ascii="Arial" w:hAnsi="Arial"/>
        </w:rPr>
        <w:t xml:space="preserve">). </w:t>
      </w:r>
    </w:p>
    <w:p w14:paraId="0EE4D6D4" w14:textId="69541219" w:rsidR="0049712C" w:rsidRPr="00984510" w:rsidRDefault="0046127F" w:rsidP="00984510">
      <w:pPr>
        <w:pStyle w:val="ListParagraph"/>
        <w:numPr>
          <w:ilvl w:val="1"/>
          <w:numId w:val="22"/>
        </w:numPr>
        <w:spacing w:after="120" w:line="259" w:lineRule="auto"/>
        <w:contextualSpacing w:val="0"/>
        <w:rPr>
          <w:rFonts w:ascii="Arial" w:hAnsi="Arial"/>
        </w:rPr>
      </w:pPr>
      <w:r w:rsidRPr="00407E2C">
        <w:rPr>
          <w:rFonts w:ascii="Arial" w:hAnsi="Arial"/>
        </w:rPr>
        <w:t xml:space="preserve">Under </w:t>
      </w:r>
      <w:r w:rsidR="00407E2C" w:rsidRPr="00407E2C">
        <w:rPr>
          <w:rFonts w:ascii="Arial" w:hAnsi="Arial"/>
        </w:rPr>
        <w:t xml:space="preserve">this proposal, in order to receive the second tranche payment on time, the authority </w:t>
      </w:r>
      <w:r w:rsidR="00407E2C" w:rsidRPr="0048012F">
        <w:rPr>
          <w:rFonts w:ascii="Arial" w:hAnsi="Arial"/>
        </w:rPr>
        <w:t>must have submitted their H-CLIC return by the required deadline (within 6 weeks of the Q2 H-CLIC collection opening). If an authority m</w:t>
      </w:r>
      <w:r w:rsidR="0048012F" w:rsidRPr="0048012F">
        <w:rPr>
          <w:rFonts w:ascii="Arial" w:hAnsi="Arial"/>
        </w:rPr>
        <w:t>isses the initial d</w:t>
      </w:r>
      <w:r w:rsidR="00407E2C" w:rsidRPr="0048012F">
        <w:rPr>
          <w:rFonts w:ascii="Arial" w:hAnsi="Arial"/>
        </w:rPr>
        <w:t>eadline but</w:t>
      </w:r>
      <w:r w:rsidR="0048012F" w:rsidRPr="0048012F">
        <w:rPr>
          <w:rFonts w:ascii="Arial" w:hAnsi="Arial"/>
        </w:rPr>
        <w:t xml:space="preserve"> meets the above conditions</w:t>
      </w:r>
      <w:r w:rsidR="00407E2C" w:rsidRPr="0048012F">
        <w:rPr>
          <w:rFonts w:ascii="Arial" w:hAnsi="Arial"/>
        </w:rPr>
        <w:t xml:space="preserve"> </w:t>
      </w:r>
      <w:r w:rsidR="0048012F" w:rsidRPr="0048012F">
        <w:rPr>
          <w:rFonts w:ascii="Arial" w:hAnsi="Arial"/>
        </w:rPr>
        <w:t>in sufficient time to release payment before the end of the financial year</w:t>
      </w:r>
      <w:r w:rsidR="00407E2C" w:rsidRPr="0048012F">
        <w:rPr>
          <w:rFonts w:ascii="Arial" w:hAnsi="Arial"/>
        </w:rPr>
        <w:t xml:space="preserve">, the </w:t>
      </w:r>
      <w:r w:rsidR="0048012F">
        <w:rPr>
          <w:rFonts w:ascii="Arial" w:hAnsi="Arial"/>
        </w:rPr>
        <w:t xml:space="preserve">authority would receive </w:t>
      </w:r>
      <w:r w:rsidR="0048012F" w:rsidRPr="0048012F">
        <w:rPr>
          <w:rFonts w:ascii="Arial" w:hAnsi="Arial"/>
        </w:rPr>
        <w:t>the second tranche payment</w:t>
      </w:r>
      <w:r w:rsidR="0048012F">
        <w:rPr>
          <w:rFonts w:ascii="Arial" w:hAnsi="Arial"/>
        </w:rPr>
        <w:t xml:space="preserve"> after a period of delay</w:t>
      </w:r>
      <w:r w:rsidR="00407E2C" w:rsidRPr="00407E2C">
        <w:rPr>
          <w:rFonts w:ascii="Arial" w:hAnsi="Arial"/>
        </w:rPr>
        <w:t>.</w:t>
      </w:r>
      <w:r w:rsidR="00407E2C" w:rsidRPr="00407E2C">
        <w:rPr>
          <w:rStyle w:val="normaltextrun"/>
          <w:rFonts w:ascii="Arial" w:hAnsi="Arial"/>
        </w:rPr>
        <w:t xml:space="preserve"> </w:t>
      </w:r>
      <w:r w:rsidR="00407E2C">
        <w:rPr>
          <w:rStyle w:val="normaltextrun"/>
          <w:rFonts w:ascii="Arial" w:hAnsi="Arial"/>
        </w:rPr>
        <w:t xml:space="preserve">The </w:t>
      </w:r>
      <w:r w:rsidR="00407E2C" w:rsidRPr="00407E2C">
        <w:rPr>
          <w:rStyle w:val="normaltextrun"/>
          <w:rFonts w:ascii="Arial" w:hAnsi="Arial"/>
        </w:rPr>
        <w:t>local authority would not receive the second tranche of funding without meeting the conditions specified above</w:t>
      </w:r>
      <w:r w:rsidR="00AA5DE4">
        <w:rPr>
          <w:rFonts w:ascii="Arial" w:hAnsi="Arial"/>
        </w:rPr>
        <w:t>.</w:t>
      </w:r>
    </w:p>
    <w:p w14:paraId="5632AF8D" w14:textId="36484DFE" w:rsidR="0006037C" w:rsidRPr="00BF0F07" w:rsidRDefault="00DE7458" w:rsidP="00C11EBA">
      <w:pPr>
        <w:spacing w:after="120"/>
        <w:rPr>
          <w:rFonts w:eastAsia="Arial" w:cs="Arial"/>
          <w:b/>
          <w:bCs/>
          <w:color w:val="000000" w:themeColor="text1"/>
        </w:rPr>
      </w:pPr>
      <w:r w:rsidRPr="00BF0F07">
        <w:rPr>
          <w:rFonts w:eastAsia="Arial" w:cs="Arial"/>
          <w:b/>
          <w:bCs/>
          <w:color w:val="000000" w:themeColor="text1"/>
        </w:rPr>
        <w:t>Q1</w:t>
      </w:r>
      <w:r w:rsidR="00C77CB8">
        <w:rPr>
          <w:rFonts w:eastAsia="Arial" w:cs="Arial"/>
          <w:b/>
          <w:bCs/>
          <w:color w:val="000000" w:themeColor="text1"/>
        </w:rPr>
        <w:t>6</w:t>
      </w:r>
      <w:r w:rsidRPr="00BF0F07">
        <w:rPr>
          <w:rFonts w:eastAsia="Arial" w:cs="Arial"/>
          <w:b/>
          <w:bCs/>
          <w:color w:val="000000" w:themeColor="text1"/>
        </w:rPr>
        <w:t>.</w:t>
      </w:r>
      <w:r w:rsidR="0006037C" w:rsidRPr="00BF0F07">
        <w:rPr>
          <w:rFonts w:eastAsia="Arial" w:cs="Arial"/>
          <w:b/>
          <w:bCs/>
          <w:color w:val="000000" w:themeColor="text1"/>
        </w:rPr>
        <w:t xml:space="preserve"> What is your view on our proposal to introduce </w:t>
      </w:r>
      <w:r w:rsidR="0006037C" w:rsidRPr="00BF0F07">
        <w:rPr>
          <w:rFonts w:cs="Arial"/>
          <w:b/>
          <w:bCs/>
        </w:rPr>
        <w:t>tranche payments for the Homelessness Prevention Grant in order to incentivise better H-CLIC data reporting</w:t>
      </w:r>
      <w:r w:rsidR="0006037C" w:rsidRPr="00BF0F07">
        <w:rPr>
          <w:rFonts w:eastAsia="Arial" w:cs="Arial"/>
          <w:b/>
          <w:bCs/>
          <w:color w:val="000000" w:themeColor="text1"/>
        </w:rPr>
        <w:t>? (Strongly Agree – Agree – Neutral – Disagree – Strongly Disagree</w:t>
      </w:r>
      <w:r w:rsidR="00940CE7">
        <w:rPr>
          <w:rFonts w:eastAsia="Arial" w:cs="Arial"/>
          <w:b/>
          <w:bCs/>
          <w:color w:val="000000" w:themeColor="text1"/>
        </w:rPr>
        <w:t xml:space="preserve"> – Not sure</w:t>
      </w:r>
      <w:r w:rsidR="0006037C" w:rsidRPr="00BF0F07">
        <w:rPr>
          <w:rFonts w:eastAsia="Arial" w:cs="Arial"/>
          <w:b/>
          <w:bCs/>
          <w:color w:val="000000" w:themeColor="text1"/>
        </w:rPr>
        <w:t xml:space="preserve">) </w:t>
      </w:r>
    </w:p>
    <w:p w14:paraId="71859AA6" w14:textId="0E044A37" w:rsidR="0006037C" w:rsidRPr="00BF0F07" w:rsidRDefault="00DE7458" w:rsidP="00C11EBA">
      <w:pPr>
        <w:spacing w:after="120"/>
        <w:rPr>
          <w:rFonts w:eastAsia="Arial" w:cs="Arial"/>
          <w:b/>
          <w:bCs/>
          <w:color w:val="000000" w:themeColor="text1"/>
        </w:rPr>
      </w:pPr>
      <w:r w:rsidRPr="00BF0F07">
        <w:rPr>
          <w:rFonts w:eastAsia="Arial" w:cs="Arial"/>
          <w:b/>
          <w:bCs/>
          <w:color w:val="000000" w:themeColor="text1"/>
        </w:rPr>
        <w:t>Q1</w:t>
      </w:r>
      <w:r w:rsidR="00C77CB8">
        <w:rPr>
          <w:rFonts w:eastAsia="Arial" w:cs="Arial"/>
          <w:b/>
          <w:bCs/>
          <w:color w:val="000000" w:themeColor="text1"/>
        </w:rPr>
        <w:t>7</w:t>
      </w:r>
      <w:r w:rsidR="0006037C" w:rsidRPr="00BF0F07">
        <w:rPr>
          <w:rFonts w:eastAsia="Arial" w:cs="Arial"/>
          <w:b/>
          <w:bCs/>
          <w:color w:val="000000" w:themeColor="text1"/>
        </w:rPr>
        <w:t>. If we were to introduce tranche payments, what percentage of t</w:t>
      </w:r>
      <w:r w:rsidR="0006037C" w:rsidRPr="00BF0F07">
        <w:rPr>
          <w:rFonts w:cs="Arial"/>
          <w:b/>
          <w:bCs/>
        </w:rPr>
        <w:t>he funding would you recommend be released in tranche 2 (later in the financial year)?</w:t>
      </w:r>
      <w:r w:rsidR="0006037C" w:rsidRPr="00BF0F07">
        <w:rPr>
          <w:rFonts w:eastAsia="Arial" w:cs="Arial"/>
          <w:b/>
          <w:bCs/>
          <w:color w:val="000000" w:themeColor="text1"/>
        </w:rPr>
        <w:t xml:space="preserve"> (50% - 25% - 10% - 5% - None </w:t>
      </w:r>
      <w:r w:rsidR="007C5650">
        <w:rPr>
          <w:rFonts w:eastAsia="Arial" w:cs="Arial"/>
          <w:b/>
          <w:bCs/>
          <w:color w:val="000000" w:themeColor="text1"/>
        </w:rPr>
        <w:t xml:space="preserve">– Other </w:t>
      </w:r>
      <w:r w:rsidR="0006037C" w:rsidRPr="00BF0F07">
        <w:rPr>
          <w:rFonts w:eastAsia="Arial" w:cs="Arial"/>
          <w:b/>
          <w:bCs/>
          <w:color w:val="000000" w:themeColor="text1"/>
        </w:rPr>
        <w:t>–</w:t>
      </w:r>
      <w:r w:rsidR="007C5650">
        <w:rPr>
          <w:rFonts w:eastAsia="Arial" w:cs="Arial"/>
          <w:b/>
          <w:bCs/>
          <w:color w:val="000000" w:themeColor="text1"/>
        </w:rPr>
        <w:t xml:space="preserve"> Indifferent -</w:t>
      </w:r>
      <w:r w:rsidR="0006037C" w:rsidRPr="00BF0F07">
        <w:rPr>
          <w:rFonts w:eastAsia="Arial" w:cs="Arial"/>
          <w:b/>
          <w:bCs/>
          <w:color w:val="000000" w:themeColor="text1"/>
        </w:rPr>
        <w:t xml:space="preserve"> Not sure)</w:t>
      </w:r>
    </w:p>
    <w:p w14:paraId="2D8AB7C2" w14:textId="42D69987" w:rsidR="0006037C" w:rsidRPr="00BF0F07" w:rsidRDefault="00DE7458" w:rsidP="00BC0267">
      <w:pPr>
        <w:spacing w:after="120"/>
        <w:rPr>
          <w:rFonts w:eastAsia="Arial" w:cs="Arial"/>
          <w:b/>
          <w:bCs/>
          <w:color w:val="000000" w:themeColor="text1"/>
        </w:rPr>
      </w:pPr>
      <w:r w:rsidRPr="00BF0F07">
        <w:rPr>
          <w:rFonts w:eastAsia="Arial" w:cs="Arial"/>
          <w:b/>
          <w:bCs/>
          <w:color w:val="000000" w:themeColor="text1"/>
        </w:rPr>
        <w:t>Q</w:t>
      </w:r>
      <w:r w:rsidR="007338AB">
        <w:rPr>
          <w:rFonts w:eastAsia="Arial" w:cs="Arial"/>
          <w:b/>
          <w:bCs/>
          <w:color w:val="000000" w:themeColor="text1"/>
        </w:rPr>
        <w:t>1</w:t>
      </w:r>
      <w:r w:rsidR="00C77CB8">
        <w:rPr>
          <w:rFonts w:eastAsia="Arial" w:cs="Arial"/>
          <w:b/>
          <w:bCs/>
          <w:color w:val="000000" w:themeColor="text1"/>
        </w:rPr>
        <w:t>8</w:t>
      </w:r>
      <w:r w:rsidR="0006037C" w:rsidRPr="00BF0F07">
        <w:rPr>
          <w:rFonts w:eastAsia="Arial" w:cs="Arial"/>
          <w:b/>
          <w:bCs/>
          <w:color w:val="000000" w:themeColor="text1"/>
        </w:rPr>
        <w:t xml:space="preserve">. </w:t>
      </w:r>
      <w:r w:rsidR="0006037C" w:rsidRPr="00BF0F07">
        <w:rPr>
          <w:rFonts w:cs="Arial"/>
          <w:b/>
          <w:bCs/>
        </w:rPr>
        <w:t>What is your view on the proposed condition</w:t>
      </w:r>
      <w:r w:rsidR="0068796E" w:rsidRPr="00BF0F07">
        <w:rPr>
          <w:rFonts w:cs="Arial"/>
          <w:b/>
          <w:bCs/>
        </w:rPr>
        <w:t>s</w:t>
      </w:r>
      <w:r w:rsidR="009F5DD9" w:rsidRPr="00BF0F07">
        <w:rPr>
          <w:rFonts w:cs="Arial"/>
          <w:b/>
          <w:bCs/>
        </w:rPr>
        <w:t xml:space="preserve"> – publishable </w:t>
      </w:r>
      <w:r w:rsidR="0006037C" w:rsidRPr="00BF0F07">
        <w:rPr>
          <w:rFonts w:cs="Arial"/>
          <w:b/>
          <w:bCs/>
        </w:rPr>
        <w:t>H-CLIC</w:t>
      </w:r>
      <w:r w:rsidR="009F5DD9" w:rsidRPr="00BF0F07">
        <w:rPr>
          <w:rFonts w:cs="Arial"/>
          <w:b/>
          <w:bCs/>
        </w:rPr>
        <w:t xml:space="preserve"> returns with full TA data -</w:t>
      </w:r>
      <w:r w:rsidR="0006037C" w:rsidRPr="00BF0F07">
        <w:rPr>
          <w:rFonts w:cs="Arial"/>
          <w:b/>
          <w:bCs/>
        </w:rPr>
        <w:t xml:space="preserve"> in order to receive tranche 2 of the grant? </w:t>
      </w:r>
      <w:r w:rsidR="0006037C" w:rsidRPr="00BF0F07">
        <w:rPr>
          <w:rFonts w:eastAsia="Arial" w:cs="Arial"/>
          <w:b/>
          <w:bCs/>
          <w:color w:val="000000" w:themeColor="text1"/>
        </w:rPr>
        <w:t>(Strongly Agree – Agree – Neutral – Disagree – Strongly Disagree</w:t>
      </w:r>
      <w:r w:rsidR="004A0E1F">
        <w:rPr>
          <w:rFonts w:eastAsia="Arial" w:cs="Arial"/>
          <w:b/>
          <w:bCs/>
          <w:color w:val="000000" w:themeColor="text1"/>
        </w:rPr>
        <w:t xml:space="preserve"> – Not sure</w:t>
      </w:r>
      <w:r w:rsidR="0006037C" w:rsidRPr="00BF0F07">
        <w:rPr>
          <w:rFonts w:eastAsia="Arial" w:cs="Arial"/>
          <w:b/>
          <w:bCs/>
          <w:color w:val="000000" w:themeColor="text1"/>
        </w:rPr>
        <w:t xml:space="preserve">) </w:t>
      </w:r>
    </w:p>
    <w:p w14:paraId="660FE3B7" w14:textId="61E7ACD1" w:rsidR="0006037C" w:rsidRPr="00E54E76" w:rsidRDefault="00DE7458" w:rsidP="0006037C">
      <w:pPr>
        <w:rPr>
          <w:rFonts w:eastAsia="Arial" w:cs="Arial"/>
          <w:b/>
          <w:bCs/>
          <w:color w:val="000000" w:themeColor="text1"/>
        </w:rPr>
      </w:pPr>
      <w:r w:rsidRPr="00BF0F07">
        <w:rPr>
          <w:rFonts w:eastAsia="Arial" w:cs="Arial"/>
          <w:b/>
          <w:bCs/>
          <w:color w:val="000000" w:themeColor="text1"/>
        </w:rPr>
        <w:t>Q</w:t>
      </w:r>
      <w:r w:rsidR="00C77CB8">
        <w:rPr>
          <w:rFonts w:eastAsia="Arial" w:cs="Arial"/>
          <w:b/>
          <w:bCs/>
          <w:color w:val="000000" w:themeColor="text1"/>
        </w:rPr>
        <w:t>19</w:t>
      </w:r>
      <w:r w:rsidR="0006037C" w:rsidRPr="00BF0F07">
        <w:rPr>
          <w:rFonts w:eastAsia="Arial" w:cs="Arial"/>
          <w:b/>
          <w:bCs/>
          <w:color w:val="000000" w:themeColor="text1"/>
        </w:rPr>
        <w:t>.</w:t>
      </w:r>
      <w:r w:rsidR="007D7B4A" w:rsidRPr="007D7B4A">
        <w:rPr>
          <w:rFonts w:eastAsia="Arial" w:cs="Arial"/>
          <w:b/>
          <w:bCs/>
          <w:color w:val="000000" w:themeColor="text1"/>
        </w:rPr>
        <w:t xml:space="preserve"> </w:t>
      </w:r>
      <w:r w:rsidR="00E54E76" w:rsidRPr="00E54E76">
        <w:rPr>
          <w:rStyle w:val="normaltextrun"/>
          <w:rFonts w:cs="Arial"/>
          <w:b/>
          <w:bCs/>
          <w:color w:val="000000"/>
          <w:shd w:val="clear" w:color="auto" w:fill="FFFFFF"/>
        </w:rPr>
        <w:t xml:space="preserve">Please explain the reasons for your answers to the questions in this chapter, and provide any other thoughts or comments on this proposal. </w:t>
      </w:r>
      <w:r w:rsidR="0006037C" w:rsidRPr="00E54E76">
        <w:rPr>
          <w:rFonts w:eastAsia="Arial" w:cs="Arial"/>
          <w:b/>
          <w:bCs/>
          <w:color w:val="000000" w:themeColor="text1"/>
        </w:rPr>
        <w:t xml:space="preserve">(500 word limit) </w:t>
      </w:r>
    </w:p>
    <w:p w14:paraId="0A9FE389" w14:textId="77777777" w:rsidR="0006037C" w:rsidRDefault="0006037C" w:rsidP="0006037C">
      <w:pPr>
        <w:rPr>
          <w:rFonts w:eastAsia="Arial" w:cs="Arial"/>
          <w:sz w:val="23"/>
          <w:szCs w:val="23"/>
        </w:rPr>
      </w:pPr>
    </w:p>
    <w:p w14:paraId="32E8C281" w14:textId="5EFD5154" w:rsidR="005C08A5" w:rsidRDefault="005C08A5">
      <w:pPr>
        <w:rPr>
          <w:rFonts w:eastAsia="Arial" w:cs="Arial"/>
          <w:sz w:val="23"/>
          <w:szCs w:val="23"/>
        </w:rPr>
      </w:pPr>
      <w:r>
        <w:rPr>
          <w:rFonts w:eastAsia="Arial" w:cs="Arial"/>
          <w:sz w:val="23"/>
          <w:szCs w:val="23"/>
        </w:rPr>
        <w:br w:type="page"/>
      </w:r>
    </w:p>
    <w:p w14:paraId="64528E72" w14:textId="05C28DAB" w:rsidR="00CF3860" w:rsidRDefault="00CF3860" w:rsidP="004805DF">
      <w:pPr>
        <w:pStyle w:val="Heading2"/>
      </w:pPr>
      <w:bookmarkStart w:id="4" w:name="_Toc436837748"/>
      <w:bookmarkStart w:id="5" w:name="_Toc437270494"/>
      <w:r>
        <w:lastRenderedPageBreak/>
        <w:t>About this consultation</w:t>
      </w:r>
      <w:bookmarkEnd w:id="4"/>
      <w:bookmarkEnd w:id="5"/>
    </w:p>
    <w:p w14:paraId="64528E74" w14:textId="77777777" w:rsidR="00CF3860" w:rsidRDefault="00CF3860" w:rsidP="00CF3860">
      <w:r>
        <w:t xml:space="preserve">This consultation document and consultation process have been planned to adhere to the Consultation Principles issued by the Cabinet Office. </w:t>
      </w:r>
    </w:p>
    <w:p w14:paraId="64528E75" w14:textId="77777777" w:rsidR="00CF3860" w:rsidRDefault="00CF3860" w:rsidP="00CF3860"/>
    <w:p w14:paraId="64528E76" w14:textId="77777777" w:rsidR="00CF3860" w:rsidRDefault="00CF3860" w:rsidP="00CF3860">
      <w:r>
        <w:t>Representative groups are asked to give a summary of the people and organisations they represent, and where relevant who else they have consulted in reaching their conclusions when they respond.</w:t>
      </w:r>
    </w:p>
    <w:p w14:paraId="64528E77" w14:textId="77777777" w:rsidR="00CF3860" w:rsidRDefault="00CF3860" w:rsidP="00CF3860"/>
    <w:p w14:paraId="3D339BA0" w14:textId="77777777" w:rsidR="00892357" w:rsidRPr="00892357" w:rsidRDefault="00892357" w:rsidP="00892357">
      <w:r w:rsidRPr="00892357">
        <w:t>Information provided in response to this consultation may be published or disclosed in accordance with the access to information regimes (these are primarily the Freedom of Information Act 2000 (FOIA), the Environmental Information Regulations 2004 and UK data protection legislation.  In certain circumstances this may therefore include personal data when required by law.</w:t>
      </w:r>
    </w:p>
    <w:p w14:paraId="64528E79" w14:textId="77777777" w:rsidR="00CF3860" w:rsidRDefault="00CF3860" w:rsidP="00CF3860"/>
    <w:p w14:paraId="2EA3BCF2" w14:textId="77777777" w:rsidR="00892357" w:rsidRPr="00892357" w:rsidRDefault="00892357" w:rsidP="00892357">
      <w:r w:rsidRPr="00892357">
        <w:t>If you want the information that you provide to be treated as confidential, please be aware that, as a public authority, the Department is bound by the information access regimes and may therefore be obliged to disclose all or some of the information you provide.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14:paraId="64528E7B" w14:textId="77777777" w:rsidR="00CF3860" w:rsidRDefault="00CF3860" w:rsidP="00CF3860"/>
    <w:p w14:paraId="64528E7C" w14:textId="00101698" w:rsidR="00CF3860" w:rsidRDefault="00892357" w:rsidP="00CF3860">
      <w:r w:rsidRPr="00892357">
        <w:t xml:space="preserve">The </w:t>
      </w:r>
      <w:r w:rsidR="00333112">
        <w:t>Department for Levelling Up, Housing and Communities</w:t>
      </w:r>
      <w:r w:rsidRPr="00892357">
        <w:t xml:space="preserve"> will at all times process your personal data in accordance with UK data protection legislation and in the majority of circumstances this will mean that your personal data will not be disclosed to third parties. </w:t>
      </w:r>
      <w:r w:rsidR="00EA3E5B">
        <w:t xml:space="preserve">A full privacy notice is included </w:t>
      </w:r>
      <w:r w:rsidR="000305E0">
        <w:t>below.</w:t>
      </w:r>
    </w:p>
    <w:p w14:paraId="64528E7D" w14:textId="77777777" w:rsidR="008B2F88" w:rsidRDefault="008B2F88" w:rsidP="00CF3860"/>
    <w:p w14:paraId="64528E7E" w14:textId="77777777" w:rsidR="00CF3860" w:rsidRDefault="00CF3860" w:rsidP="00CF3860">
      <w:r>
        <w:t>Individual responses will not be acknowledged unless specifically requested.</w:t>
      </w:r>
    </w:p>
    <w:p w14:paraId="64528E7F" w14:textId="77777777" w:rsidR="00CF3860" w:rsidRDefault="00CF3860" w:rsidP="00CF3860"/>
    <w:p w14:paraId="64528E80" w14:textId="77777777" w:rsidR="00CF3860" w:rsidRDefault="00CF3860" w:rsidP="00CF3860">
      <w:r>
        <w:t>Your opinions are valuable to us. Thank you for taking the time to read this document and respond.</w:t>
      </w:r>
    </w:p>
    <w:p w14:paraId="64528E81" w14:textId="77777777" w:rsidR="00CF3860" w:rsidRDefault="00CF3860" w:rsidP="00CF3860"/>
    <w:p w14:paraId="64528E82" w14:textId="5684FC56" w:rsidR="00CF3860" w:rsidRDefault="00CF3860" w:rsidP="00CF3860">
      <w:r>
        <w:t xml:space="preserve">Are you satisfied that this consultation has followed the Consultation Principles?  If not or you have any other observations about how we can improve the process please contact us via the </w:t>
      </w:r>
      <w:hyperlink r:id="rId22" w:history="1">
        <w:r w:rsidRPr="00AD76C4">
          <w:rPr>
            <w:rStyle w:val="Hyperlink"/>
          </w:rPr>
          <w:t>complaints procedure</w:t>
        </w:r>
      </w:hyperlink>
      <w:r>
        <w:t xml:space="preserve">. </w:t>
      </w:r>
    </w:p>
    <w:p w14:paraId="64528E89" w14:textId="760F80B8" w:rsidR="008B2F88" w:rsidRDefault="008B2F88" w:rsidP="008B2F88">
      <w:pPr>
        <w:rPr>
          <w:rFonts w:cs="Arial"/>
        </w:rPr>
      </w:pPr>
    </w:p>
    <w:p w14:paraId="4BC9F992" w14:textId="1E783114" w:rsidR="00F775FE" w:rsidRDefault="00F775FE" w:rsidP="008B2F88">
      <w:pPr>
        <w:rPr>
          <w:rFonts w:cs="Arial"/>
        </w:rPr>
      </w:pPr>
    </w:p>
    <w:p w14:paraId="03FF9A58" w14:textId="7FD0DFC8" w:rsidR="00F775FE" w:rsidRDefault="00F775FE" w:rsidP="008B2F88">
      <w:pPr>
        <w:rPr>
          <w:rFonts w:cs="Arial"/>
        </w:rPr>
      </w:pPr>
    </w:p>
    <w:p w14:paraId="0B25F63E" w14:textId="4A64624B" w:rsidR="00F775FE" w:rsidRDefault="00F775FE" w:rsidP="008B2F88">
      <w:pPr>
        <w:rPr>
          <w:rFonts w:cs="Arial"/>
        </w:rPr>
      </w:pPr>
    </w:p>
    <w:p w14:paraId="081BB2D0" w14:textId="29A787B1" w:rsidR="00F775FE" w:rsidRDefault="00F775FE" w:rsidP="008B2F88">
      <w:pPr>
        <w:rPr>
          <w:rFonts w:cs="Arial"/>
        </w:rPr>
      </w:pPr>
    </w:p>
    <w:p w14:paraId="1B0D58A3" w14:textId="6A0E15B1" w:rsidR="00F775FE" w:rsidRDefault="00F775FE" w:rsidP="008B2F88">
      <w:pPr>
        <w:rPr>
          <w:rFonts w:cs="Arial"/>
        </w:rPr>
      </w:pPr>
    </w:p>
    <w:p w14:paraId="39631525" w14:textId="292F1139" w:rsidR="00F775FE" w:rsidRDefault="00F775FE" w:rsidP="008B2F88">
      <w:pPr>
        <w:rPr>
          <w:rFonts w:cs="Arial"/>
        </w:rPr>
      </w:pPr>
    </w:p>
    <w:p w14:paraId="0DB476F3" w14:textId="5F440771" w:rsidR="00F775FE" w:rsidRDefault="00F775FE" w:rsidP="008B2F88">
      <w:pPr>
        <w:rPr>
          <w:rFonts w:cs="Arial"/>
        </w:rPr>
      </w:pPr>
    </w:p>
    <w:p w14:paraId="4FDE589C" w14:textId="5F365723" w:rsidR="00F775FE" w:rsidRDefault="00F775FE" w:rsidP="008B2F88">
      <w:pPr>
        <w:rPr>
          <w:rFonts w:cs="Arial"/>
        </w:rPr>
      </w:pPr>
    </w:p>
    <w:p w14:paraId="42B9C876" w14:textId="77777777" w:rsidR="00984510" w:rsidRDefault="00984510" w:rsidP="008B2F88">
      <w:pPr>
        <w:rPr>
          <w:rFonts w:cs="Arial"/>
        </w:rPr>
      </w:pPr>
    </w:p>
    <w:p w14:paraId="5DC3CE00" w14:textId="3BC2BBD4" w:rsidR="00F775FE" w:rsidRDefault="00F775FE" w:rsidP="008B2F88">
      <w:pPr>
        <w:rPr>
          <w:rFonts w:cs="Arial"/>
        </w:rPr>
      </w:pPr>
    </w:p>
    <w:p w14:paraId="38AC8816" w14:textId="77777777" w:rsidR="00F775FE" w:rsidRPr="008B2F88" w:rsidRDefault="00F775FE" w:rsidP="008B2F88">
      <w:pPr>
        <w:rPr>
          <w:rFonts w:cs="Arial"/>
        </w:rPr>
      </w:pPr>
    </w:p>
    <w:p w14:paraId="64528E8A" w14:textId="40E30A14" w:rsidR="008B2F88" w:rsidRPr="008B2F88" w:rsidRDefault="008B2F88" w:rsidP="00232A38">
      <w:pPr>
        <w:pStyle w:val="Heading2"/>
      </w:pPr>
      <w:r w:rsidRPr="008B2F88">
        <w:lastRenderedPageBreak/>
        <w:t xml:space="preserve">Personal </w:t>
      </w:r>
      <w:r w:rsidR="0071203C">
        <w:t>d</w:t>
      </w:r>
      <w:r w:rsidRPr="008B2F88">
        <w:t>ata</w:t>
      </w:r>
    </w:p>
    <w:p w14:paraId="7B7149ED" w14:textId="4DED8630" w:rsidR="00EC60BB" w:rsidRPr="00EC60BB" w:rsidRDefault="00EC60BB" w:rsidP="00EC60BB">
      <w:pPr>
        <w:rPr>
          <w:rFonts w:cs="Arial"/>
        </w:rPr>
      </w:pPr>
      <w:r w:rsidRPr="00EC60BB">
        <w:rPr>
          <w:rFonts w:cs="Arial"/>
        </w:rPr>
        <w:t xml:space="preserve">The following is to explain your rights and give you the information you are entitled to under UK data protection legislation. </w:t>
      </w:r>
    </w:p>
    <w:p w14:paraId="64528E8D" w14:textId="77777777" w:rsidR="008B2F88" w:rsidRPr="008F31DA" w:rsidRDefault="008B2F88" w:rsidP="008B2F88">
      <w:pPr>
        <w:rPr>
          <w:rFonts w:cs="Arial"/>
        </w:rPr>
      </w:pPr>
    </w:p>
    <w:p w14:paraId="2C26A289" w14:textId="77777777" w:rsidR="008D3BA8" w:rsidRPr="007401C0" w:rsidRDefault="008D3BA8" w:rsidP="008D3BA8">
      <w:pPr>
        <w:rPr>
          <w:rFonts w:cs="Arial"/>
        </w:rPr>
      </w:pPr>
      <w:r w:rsidRPr="007401C0">
        <w:rPr>
          <w:rFonts w:cs="Arial"/>
        </w:rPr>
        <w:t>Note that this section only refers to personal data (your name</w:t>
      </w:r>
      <w:r>
        <w:rPr>
          <w:rFonts w:cs="Arial"/>
        </w:rPr>
        <w:t>,</w:t>
      </w:r>
      <w:r w:rsidRPr="007401C0">
        <w:rPr>
          <w:rFonts w:cs="Arial"/>
        </w:rPr>
        <w:t xml:space="preserve"> </w:t>
      </w:r>
      <w:r>
        <w:rPr>
          <w:rFonts w:cs="Arial"/>
        </w:rPr>
        <w:t xml:space="preserve">contact details </w:t>
      </w:r>
      <w:r w:rsidRPr="007401C0">
        <w:rPr>
          <w:rFonts w:cs="Arial"/>
        </w:rPr>
        <w:t xml:space="preserve">and any </w:t>
      </w:r>
      <w:r>
        <w:rPr>
          <w:rFonts w:cs="Arial"/>
        </w:rPr>
        <w:t xml:space="preserve">other information </w:t>
      </w:r>
      <w:r w:rsidRPr="007401C0">
        <w:rPr>
          <w:rFonts w:cs="Arial"/>
        </w:rPr>
        <w:t xml:space="preserve">that </w:t>
      </w:r>
      <w:r>
        <w:rPr>
          <w:rFonts w:cs="Arial"/>
        </w:rPr>
        <w:t>relates to</w:t>
      </w:r>
      <w:r w:rsidRPr="007401C0">
        <w:rPr>
          <w:rFonts w:cs="Arial"/>
        </w:rPr>
        <w:t xml:space="preserve"> you </w:t>
      </w:r>
      <w:r>
        <w:rPr>
          <w:rFonts w:cs="Arial"/>
        </w:rPr>
        <w:t xml:space="preserve">or another identified or identifiable individual </w:t>
      </w:r>
      <w:r w:rsidRPr="007401C0">
        <w:rPr>
          <w:rFonts w:cs="Arial"/>
        </w:rPr>
        <w:t xml:space="preserve">personally) not the content </w:t>
      </w:r>
      <w:r>
        <w:rPr>
          <w:rFonts w:cs="Arial"/>
        </w:rPr>
        <w:t xml:space="preserve">otherwise </w:t>
      </w:r>
      <w:r w:rsidRPr="007401C0">
        <w:rPr>
          <w:rFonts w:cs="Arial"/>
        </w:rPr>
        <w:t xml:space="preserve">of your response to the consultation. </w:t>
      </w:r>
    </w:p>
    <w:p w14:paraId="64528E8F" w14:textId="77777777" w:rsidR="008B2F88" w:rsidRPr="001B00E1" w:rsidRDefault="008B2F88" w:rsidP="008B2F88">
      <w:pPr>
        <w:rPr>
          <w:rFonts w:cs="Arial"/>
        </w:rPr>
      </w:pPr>
    </w:p>
    <w:p w14:paraId="64528E90" w14:textId="71EBF943" w:rsidR="008B2F88" w:rsidRDefault="008B2F88" w:rsidP="008B2F88">
      <w:pPr>
        <w:rPr>
          <w:rFonts w:cs="Arial"/>
          <w:b/>
        </w:rPr>
      </w:pPr>
      <w:r w:rsidRPr="001B00E1">
        <w:rPr>
          <w:rFonts w:cs="Arial"/>
        </w:rPr>
        <w:t xml:space="preserve">1. </w:t>
      </w:r>
      <w:r w:rsidRPr="001B00E1">
        <w:rPr>
          <w:rFonts w:cs="Arial"/>
          <w:b/>
        </w:rPr>
        <w:t>The identity of the data controller and contact details of our Data Protection</w:t>
      </w:r>
      <w:r w:rsidRPr="001B00E1">
        <w:rPr>
          <w:rFonts w:cs="Arial"/>
        </w:rPr>
        <w:t xml:space="preserve"> </w:t>
      </w:r>
      <w:r w:rsidRPr="00EA3E5B">
        <w:rPr>
          <w:rFonts w:cs="Arial"/>
          <w:b/>
        </w:rPr>
        <w:t>Officer</w:t>
      </w:r>
    </w:p>
    <w:p w14:paraId="04C67415" w14:textId="77777777" w:rsidR="00F775FE" w:rsidRPr="00EA3E5B" w:rsidRDefault="00F775FE" w:rsidP="008B2F88">
      <w:pPr>
        <w:rPr>
          <w:rFonts w:cs="Arial"/>
        </w:rPr>
      </w:pPr>
    </w:p>
    <w:p w14:paraId="64528E91" w14:textId="7ADA5637" w:rsidR="008B2F88" w:rsidRPr="00C04D86" w:rsidRDefault="008B2F88" w:rsidP="008B2F88">
      <w:pPr>
        <w:rPr>
          <w:rFonts w:cs="Arial"/>
        </w:rPr>
      </w:pPr>
      <w:r w:rsidRPr="008F31DA">
        <w:rPr>
          <w:rFonts w:cs="Arial"/>
        </w:rPr>
        <w:t xml:space="preserve">The </w:t>
      </w:r>
      <w:r w:rsidR="00F339BC" w:rsidRPr="003275E5">
        <w:rPr>
          <w:rFonts w:cs="Arial"/>
        </w:rPr>
        <w:t>Department for Levelling Up, Housing and Communities (DLUHC)</w:t>
      </w:r>
      <w:r w:rsidR="00333112">
        <w:rPr>
          <w:rFonts w:cs="Arial"/>
        </w:rPr>
        <w:t xml:space="preserve"> </w:t>
      </w:r>
      <w:r w:rsidRPr="008F31DA">
        <w:rPr>
          <w:rFonts w:cs="Arial"/>
        </w:rPr>
        <w:t xml:space="preserve">is the data controller. The Data Protection Officer can be contacted at </w:t>
      </w:r>
      <w:hyperlink r:id="rId23" w:history="1">
        <w:r w:rsidR="00333112" w:rsidRPr="00493F4C">
          <w:rPr>
            <w:rStyle w:val="Hyperlink"/>
            <w:rFonts w:cs="Arial"/>
          </w:rPr>
          <w:t>dataprotection@levellingup.gov.uk</w:t>
        </w:r>
      </w:hyperlink>
      <w:r w:rsidR="0091240E">
        <w:rPr>
          <w:rFonts w:cs="Arial"/>
        </w:rPr>
        <w:t xml:space="preserve"> </w:t>
      </w:r>
      <w:r w:rsidR="00C04D86" w:rsidRPr="00C04D86">
        <w:rPr>
          <w:rStyle w:val="Hyperlink"/>
          <w:rFonts w:cs="Arial"/>
          <w:color w:val="auto"/>
          <w:u w:val="none"/>
        </w:rPr>
        <w:t xml:space="preserve">or by writing to the following address: Data Protection Officer, </w:t>
      </w:r>
      <w:r w:rsidR="0061270F" w:rsidRPr="003275E5">
        <w:rPr>
          <w:rStyle w:val="Hyperlink"/>
          <w:rFonts w:cs="Arial"/>
          <w:color w:val="auto"/>
          <w:u w:val="none"/>
        </w:rPr>
        <w:t>Department for Levelling Up, Housing and Communitie</w:t>
      </w:r>
      <w:r w:rsidR="0061270F" w:rsidRPr="003275E5">
        <w:rPr>
          <w:rFonts w:cs="Arial"/>
        </w:rPr>
        <w:t>s</w:t>
      </w:r>
      <w:r w:rsidR="00C04D86" w:rsidRPr="00C04D86">
        <w:rPr>
          <w:rStyle w:val="Hyperlink"/>
          <w:rFonts w:cs="Arial"/>
          <w:color w:val="auto"/>
          <w:u w:val="none"/>
        </w:rPr>
        <w:t xml:space="preserve">, Fry Building, 2 Marsham Street, London SW1P 4DF. </w:t>
      </w:r>
      <w:r w:rsidR="00C04D86" w:rsidRPr="00C04D86">
        <w:rPr>
          <w:rFonts w:cs="Arial"/>
        </w:rPr>
        <w:t xml:space="preserve">  </w:t>
      </w:r>
      <w:r w:rsidRPr="00C04D86">
        <w:rPr>
          <w:rFonts w:cs="Arial"/>
        </w:rPr>
        <w:t xml:space="preserve"> </w:t>
      </w:r>
    </w:p>
    <w:p w14:paraId="64528E92" w14:textId="77777777" w:rsidR="008B2F88" w:rsidRPr="007401C0" w:rsidRDefault="008B2F88" w:rsidP="008B2F88">
      <w:pPr>
        <w:rPr>
          <w:rFonts w:cs="Arial"/>
        </w:rPr>
      </w:pPr>
      <w:r w:rsidRPr="007401C0">
        <w:rPr>
          <w:rFonts w:cs="Arial"/>
        </w:rPr>
        <w:t xml:space="preserve">              </w:t>
      </w:r>
    </w:p>
    <w:p w14:paraId="64528E93" w14:textId="5AA84FAC" w:rsidR="008B2F88" w:rsidRDefault="008B2F88" w:rsidP="008B2F88">
      <w:pPr>
        <w:rPr>
          <w:rFonts w:cs="Arial"/>
          <w:b/>
        </w:rPr>
      </w:pPr>
      <w:r w:rsidRPr="001B00E1">
        <w:rPr>
          <w:rFonts w:cs="Arial"/>
          <w:b/>
        </w:rPr>
        <w:t xml:space="preserve">2. Why we are collecting your personal data   </w:t>
      </w:r>
    </w:p>
    <w:p w14:paraId="06056217" w14:textId="77777777" w:rsidR="00F775FE" w:rsidRPr="001B00E1" w:rsidRDefault="00F775FE" w:rsidP="008B2F88">
      <w:pPr>
        <w:rPr>
          <w:rFonts w:cs="Arial"/>
          <w:b/>
        </w:rPr>
      </w:pPr>
    </w:p>
    <w:p w14:paraId="061464A5" w14:textId="3797225D" w:rsidR="00557C11" w:rsidRDefault="00557C11" w:rsidP="00557C11">
      <w:pPr>
        <w:rPr>
          <w:rFonts w:cs="Arial"/>
        </w:rPr>
      </w:pPr>
      <w:r w:rsidRPr="001B00E1">
        <w:rPr>
          <w:rFonts w:cs="Arial"/>
        </w:rPr>
        <w:t>Your personal data is being collected as an essential part of the consultation process, so that we can contact you regarding your response and for statistical purposes. We may also use it to contact you about related matters.</w:t>
      </w:r>
    </w:p>
    <w:p w14:paraId="3C0E1F34" w14:textId="04CFEA6E" w:rsidR="00AF7B6E" w:rsidRDefault="00AF7B6E" w:rsidP="00557C11">
      <w:pPr>
        <w:rPr>
          <w:rFonts w:cs="Arial"/>
        </w:rPr>
      </w:pPr>
    </w:p>
    <w:p w14:paraId="64528E95" w14:textId="42AC2676" w:rsidR="008B2F88" w:rsidRPr="006360C9" w:rsidRDefault="00AF7B6E" w:rsidP="00F775FE">
      <w:pPr>
        <w:shd w:val="clear" w:color="auto" w:fill="FFFFFF"/>
        <w:spacing w:after="392"/>
        <w:rPr>
          <w:rFonts w:cs="Arial"/>
        </w:rPr>
      </w:pPr>
      <w:r w:rsidRPr="003275E5">
        <w:rPr>
          <w:rFonts w:cs="Arial"/>
        </w:rPr>
        <w:t>We will collect your IP address if you complete a consultation online. We may use this to ensure that each person only completes a survey once. We will not use this data for any other purpose.</w:t>
      </w:r>
    </w:p>
    <w:p w14:paraId="64528E97" w14:textId="2750D720" w:rsidR="001B00E1" w:rsidRPr="007E5CD5" w:rsidRDefault="008B2F88" w:rsidP="008B2F88">
      <w:pPr>
        <w:rPr>
          <w:rFonts w:cs="Arial"/>
          <w:b/>
        </w:rPr>
      </w:pPr>
      <w:r w:rsidRPr="00892572">
        <w:rPr>
          <w:rFonts w:cs="Arial"/>
          <w:b/>
        </w:rPr>
        <w:t xml:space="preserve">3. Our legal basis </w:t>
      </w:r>
      <w:r w:rsidRPr="008F31DA">
        <w:rPr>
          <w:rFonts w:cs="Arial"/>
          <w:b/>
        </w:rPr>
        <w:t>for processing your personal data</w:t>
      </w:r>
    </w:p>
    <w:p w14:paraId="64528E98" w14:textId="77777777" w:rsidR="00892572" w:rsidRDefault="00892572" w:rsidP="008B2F88">
      <w:pPr>
        <w:rPr>
          <w:rFonts w:cs="Arial"/>
        </w:rPr>
      </w:pPr>
    </w:p>
    <w:p w14:paraId="0B5ED809" w14:textId="614C5CEC" w:rsidR="002116C1" w:rsidRDefault="007D1E7E" w:rsidP="007D1E7E">
      <w:pPr>
        <w:rPr>
          <w:rFonts w:cs="Arial"/>
        </w:rPr>
      </w:pPr>
      <w:r w:rsidRPr="005960EF">
        <w:rPr>
          <w:rFonts w:cs="Arial"/>
        </w:rPr>
        <w:t xml:space="preserve">The collection of your personal data is lawful under article 6(1)(e) of the UK General Data Protection Regulation as it is necessary for the performance by </w:t>
      </w:r>
      <w:r w:rsidR="00923FC5">
        <w:rPr>
          <w:rFonts w:cs="Arial"/>
        </w:rPr>
        <w:t>DLUHC</w:t>
      </w:r>
      <w:r w:rsidR="00923FC5" w:rsidRPr="005960EF">
        <w:rPr>
          <w:rFonts w:cs="Arial"/>
        </w:rPr>
        <w:t xml:space="preserve"> </w:t>
      </w:r>
      <w:r w:rsidRPr="005960EF">
        <w:rPr>
          <w:rFonts w:cs="Arial"/>
        </w:rPr>
        <w:t>of a task in the public interest</w:t>
      </w:r>
      <w:r>
        <w:rPr>
          <w:rFonts w:cs="Arial"/>
        </w:rPr>
        <w:t>/in the exercise of official authority vested in the data controller</w:t>
      </w:r>
      <w:r w:rsidRPr="005960EF">
        <w:rPr>
          <w:rFonts w:cs="Arial"/>
        </w:rPr>
        <w:t xml:space="preserve">.  Section 8(d) of the Data Protection Act 2018 states that this will include processing of personal data that is necessary for the exercise of a function of the Crown, a </w:t>
      </w:r>
      <w:r>
        <w:rPr>
          <w:rFonts w:cs="Arial"/>
        </w:rPr>
        <w:t>M</w:t>
      </w:r>
      <w:r w:rsidRPr="005960EF">
        <w:rPr>
          <w:rFonts w:cs="Arial"/>
        </w:rPr>
        <w:t>inister of the Crown or a government department i.e.</w:t>
      </w:r>
      <w:r>
        <w:rPr>
          <w:rFonts w:cs="Arial"/>
        </w:rPr>
        <w:t xml:space="preserve"> in this case</w:t>
      </w:r>
      <w:r w:rsidRPr="005960EF">
        <w:rPr>
          <w:rFonts w:cs="Arial"/>
        </w:rPr>
        <w:t xml:space="preserve"> a consultation.</w:t>
      </w:r>
    </w:p>
    <w:p w14:paraId="21AD7188" w14:textId="77777777" w:rsidR="002116C1" w:rsidRDefault="002116C1" w:rsidP="007D1E7E">
      <w:pPr>
        <w:rPr>
          <w:rFonts w:cs="Arial"/>
        </w:rPr>
      </w:pPr>
    </w:p>
    <w:p w14:paraId="64528E9A" w14:textId="5BB5BF2A" w:rsidR="008B2F88" w:rsidRPr="008F31DA" w:rsidRDefault="002116C1" w:rsidP="00F775FE">
      <w:pPr>
        <w:shd w:val="clear" w:color="auto" w:fill="FFFFFF" w:themeFill="background1"/>
        <w:spacing w:after="392"/>
        <w:rPr>
          <w:rFonts w:cs="Arial"/>
        </w:rPr>
      </w:pPr>
      <w:r w:rsidRPr="003275E5">
        <w:rPr>
          <w:rFonts w:cs="Arial"/>
        </w:rPr>
        <w:t>Where necessary for the purposes of this consultation, our lawful basis for the processing of any special category personal data or ‘criminal offence’ data (terms explained under ‘Sensitive Types of Data’) which you submit in response to this consultation is as follows. The relevant lawful basis for the processing of special category personal data is Article 9(2)(g) UK GDPR (‘substantial public interest’), and Schedule 1 paragraph 6 of the Data Protection Act 2018 (‘statutory etc and government purposes’). The relevant lawful basis in relation to personal data relating to criminal convictions and offences data is likewise provided by Schedule 1 paragraph 6 of the Data Protection Act 2018.</w:t>
      </w:r>
    </w:p>
    <w:p w14:paraId="79A07418" w14:textId="65985F39" w:rsidR="00F775FE" w:rsidRPr="00F775FE" w:rsidRDefault="008B2F88" w:rsidP="00F775FE">
      <w:pPr>
        <w:rPr>
          <w:b/>
        </w:rPr>
      </w:pPr>
      <w:r w:rsidRPr="00F775FE">
        <w:rPr>
          <w:b/>
        </w:rPr>
        <w:t>With whom we will be sharing your personal data</w:t>
      </w:r>
    </w:p>
    <w:p w14:paraId="373ECCC7" w14:textId="77777777" w:rsidR="00F775FE" w:rsidRDefault="00F775FE" w:rsidP="006F60E1">
      <w:pPr>
        <w:rPr>
          <w:rFonts w:cs="Arial"/>
        </w:rPr>
      </w:pPr>
    </w:p>
    <w:p w14:paraId="46D69685" w14:textId="5762ADC8" w:rsidR="00705C72" w:rsidRPr="00F775FE" w:rsidRDefault="0044155B" w:rsidP="006F60E1">
      <w:pPr>
        <w:rPr>
          <w:rFonts w:cs="Arial"/>
        </w:rPr>
      </w:pPr>
      <w:r>
        <w:rPr>
          <w:rFonts w:cs="Arial"/>
        </w:rPr>
        <w:lastRenderedPageBreak/>
        <w:t xml:space="preserve">DLUHC </w:t>
      </w:r>
      <w:r w:rsidR="00705C72">
        <w:rPr>
          <w:rFonts w:cs="Arial"/>
        </w:rPr>
        <w:t xml:space="preserve">may appoint a ‘data processor’, acting on behalf of the </w:t>
      </w:r>
      <w:r>
        <w:rPr>
          <w:rFonts w:cs="Arial"/>
        </w:rPr>
        <w:t>D</w:t>
      </w:r>
      <w:r w:rsidR="00705C72">
        <w:rPr>
          <w:rFonts w:cs="Arial"/>
        </w:rPr>
        <w:t>epartment and under our instruction, to help analyse the responses to this consultation. Where we do we will ensure that the processing of your personal data remains in strict accordance with the requirements of the data protection legislation.</w:t>
      </w:r>
    </w:p>
    <w:p w14:paraId="64528E9D" w14:textId="77777777" w:rsidR="008B2F88" w:rsidRPr="008F31DA" w:rsidRDefault="008B2F88" w:rsidP="008B2F88">
      <w:pPr>
        <w:rPr>
          <w:rFonts w:cs="Arial"/>
        </w:rPr>
      </w:pPr>
      <w:r w:rsidRPr="008F31DA">
        <w:rPr>
          <w:rFonts w:cs="Arial"/>
        </w:rPr>
        <w:t xml:space="preserve"> </w:t>
      </w:r>
    </w:p>
    <w:p w14:paraId="64528E9E" w14:textId="0AF3EE19" w:rsidR="008B2F88" w:rsidRPr="007401C0" w:rsidRDefault="005C645F" w:rsidP="008B2F88">
      <w:pPr>
        <w:rPr>
          <w:rFonts w:cs="Arial"/>
          <w:b/>
        </w:rPr>
      </w:pPr>
      <w:r>
        <w:rPr>
          <w:rFonts w:cs="Arial"/>
          <w:b/>
        </w:rPr>
        <w:t>5</w:t>
      </w:r>
      <w:r w:rsidR="008B2F88" w:rsidRPr="008F31DA">
        <w:rPr>
          <w:rFonts w:cs="Arial"/>
          <w:b/>
        </w:rPr>
        <w:t xml:space="preserve">. For how long we will keep your personal data, or criteria used to determine the retention period. </w:t>
      </w:r>
    </w:p>
    <w:p w14:paraId="413DE3ED" w14:textId="77777777" w:rsidR="00F775FE" w:rsidRDefault="00F775FE" w:rsidP="00CD79BF">
      <w:pPr>
        <w:rPr>
          <w:rFonts w:cs="Arial"/>
        </w:rPr>
      </w:pPr>
    </w:p>
    <w:p w14:paraId="60A543AA" w14:textId="7F42D04C" w:rsidR="00CD79BF" w:rsidRPr="00EA3E5B" w:rsidRDefault="008B2F88" w:rsidP="00CD79BF">
      <w:pPr>
        <w:rPr>
          <w:rFonts w:cs="Arial"/>
        </w:rPr>
      </w:pPr>
      <w:r w:rsidRPr="007401C0">
        <w:rPr>
          <w:rFonts w:cs="Arial"/>
        </w:rPr>
        <w:t xml:space="preserve">Your personal data will be held for </w:t>
      </w:r>
      <w:r w:rsidR="001B00E1">
        <w:rPr>
          <w:rFonts w:cs="Arial"/>
        </w:rPr>
        <w:t xml:space="preserve">two years from the closure of the </w:t>
      </w:r>
      <w:r w:rsidR="00CD79BF">
        <w:rPr>
          <w:rFonts w:cs="Arial"/>
        </w:rPr>
        <w:t>consultation</w:t>
      </w:r>
      <w:r w:rsidR="00D2252C">
        <w:rPr>
          <w:rFonts w:cs="Arial"/>
        </w:rPr>
        <w:t xml:space="preserve">, </w:t>
      </w:r>
      <w:r w:rsidR="00D2252C" w:rsidRPr="003275E5">
        <w:rPr>
          <w:rFonts w:cs="Arial"/>
        </w:rPr>
        <w:t>unless we identify that its continued retention is unnecessary before that point</w:t>
      </w:r>
      <w:r w:rsidR="00D2252C" w:rsidRPr="5D19435F">
        <w:rPr>
          <w:rFonts w:cs="Arial"/>
        </w:rPr>
        <w:t>.</w:t>
      </w:r>
    </w:p>
    <w:p w14:paraId="64528EA0" w14:textId="3F21C340" w:rsidR="008B2F88" w:rsidRPr="008F31DA" w:rsidRDefault="008B2F88" w:rsidP="008B2F88">
      <w:pPr>
        <w:rPr>
          <w:rFonts w:cs="Arial"/>
        </w:rPr>
      </w:pPr>
    </w:p>
    <w:p w14:paraId="64528EA1" w14:textId="4B01E8A2" w:rsidR="008B2F88" w:rsidRPr="008F31DA" w:rsidRDefault="00824CE1" w:rsidP="008B2F88">
      <w:pPr>
        <w:rPr>
          <w:rFonts w:cs="Arial"/>
          <w:b/>
        </w:rPr>
      </w:pPr>
      <w:r>
        <w:rPr>
          <w:rFonts w:cs="Arial"/>
          <w:b/>
        </w:rPr>
        <w:t>6</w:t>
      </w:r>
      <w:r w:rsidR="008B2F88" w:rsidRPr="008F31DA">
        <w:rPr>
          <w:rFonts w:cs="Arial"/>
          <w:b/>
        </w:rPr>
        <w:t xml:space="preserve">. Your rights, e.g. access, rectification, </w:t>
      </w:r>
      <w:r w:rsidR="00CD79BF">
        <w:rPr>
          <w:rFonts w:cs="Arial"/>
          <w:b/>
        </w:rPr>
        <w:t>restriction, objection</w:t>
      </w:r>
    </w:p>
    <w:p w14:paraId="725CBA3C" w14:textId="77777777" w:rsidR="00F775FE" w:rsidRDefault="00F775FE" w:rsidP="008B2F88">
      <w:pPr>
        <w:rPr>
          <w:rFonts w:cs="Arial"/>
        </w:rPr>
      </w:pPr>
    </w:p>
    <w:p w14:paraId="64528EA2" w14:textId="7E5DDFB9" w:rsidR="008B2F88" w:rsidRDefault="008B2F88" w:rsidP="008B2F88">
      <w:pPr>
        <w:rPr>
          <w:rFonts w:cs="Arial"/>
        </w:rPr>
      </w:pPr>
      <w:r w:rsidRPr="008F31DA">
        <w:rPr>
          <w:rFonts w:cs="Arial"/>
        </w:rPr>
        <w:t>The data we are collecting is your personal data, and you have considerable say over what happens to it. You have the right:</w:t>
      </w:r>
    </w:p>
    <w:p w14:paraId="28BDE4A7" w14:textId="77777777" w:rsidR="004805DF" w:rsidRPr="00077503" w:rsidRDefault="004805DF" w:rsidP="008B2F88">
      <w:pPr>
        <w:rPr>
          <w:rFonts w:cs="Arial"/>
        </w:rPr>
      </w:pPr>
    </w:p>
    <w:p w14:paraId="64528EA3" w14:textId="6158135B" w:rsidR="008B2F88" w:rsidRPr="007401C0" w:rsidRDefault="008B2F88" w:rsidP="008B2F88">
      <w:pPr>
        <w:rPr>
          <w:rFonts w:cs="Arial"/>
        </w:rPr>
      </w:pPr>
      <w:r w:rsidRPr="007401C0">
        <w:rPr>
          <w:rFonts w:cs="Arial"/>
        </w:rPr>
        <w:t>a.</w:t>
      </w:r>
      <w:r w:rsidR="004805DF">
        <w:rPr>
          <w:rFonts w:cs="Arial"/>
        </w:rPr>
        <w:t xml:space="preserve"> </w:t>
      </w:r>
      <w:r w:rsidRPr="007401C0">
        <w:rPr>
          <w:rFonts w:cs="Arial"/>
        </w:rPr>
        <w:t>to see what data we have about you</w:t>
      </w:r>
    </w:p>
    <w:p w14:paraId="64528EA4" w14:textId="038F5E4A" w:rsidR="008B2F88" w:rsidRPr="007401C0" w:rsidRDefault="008B2F88" w:rsidP="008B2F88">
      <w:pPr>
        <w:rPr>
          <w:rFonts w:cs="Arial"/>
        </w:rPr>
      </w:pPr>
      <w:r w:rsidRPr="007401C0">
        <w:rPr>
          <w:rFonts w:cs="Arial"/>
        </w:rPr>
        <w:t>b.</w:t>
      </w:r>
      <w:r w:rsidR="004805DF">
        <w:rPr>
          <w:rFonts w:cs="Arial"/>
        </w:rPr>
        <w:t xml:space="preserve"> </w:t>
      </w:r>
      <w:r w:rsidRPr="007401C0">
        <w:rPr>
          <w:rFonts w:cs="Arial"/>
        </w:rPr>
        <w:t>to ask us to stop using your data, but keep it on record</w:t>
      </w:r>
    </w:p>
    <w:p w14:paraId="4288EF0E" w14:textId="2C63CF07" w:rsidR="00607EEE" w:rsidRDefault="008B2F88" w:rsidP="00607EEE">
      <w:pPr>
        <w:rPr>
          <w:rFonts w:cs="Arial"/>
        </w:rPr>
      </w:pPr>
      <w:r w:rsidRPr="007401C0">
        <w:rPr>
          <w:rFonts w:cs="Arial"/>
        </w:rPr>
        <w:t>c.</w:t>
      </w:r>
      <w:r w:rsidR="004805DF">
        <w:rPr>
          <w:rFonts w:cs="Arial"/>
        </w:rPr>
        <w:t xml:space="preserve"> </w:t>
      </w:r>
      <w:r w:rsidR="00607EEE" w:rsidRPr="007401C0">
        <w:rPr>
          <w:rFonts w:cs="Arial"/>
        </w:rPr>
        <w:t xml:space="preserve">to </w:t>
      </w:r>
      <w:r w:rsidR="00607EEE">
        <w:rPr>
          <w:rFonts w:cs="Arial"/>
        </w:rPr>
        <w:t xml:space="preserve">ask to </w:t>
      </w:r>
      <w:r w:rsidR="00607EEE" w:rsidRPr="007401C0">
        <w:rPr>
          <w:rFonts w:cs="Arial"/>
        </w:rPr>
        <w:t xml:space="preserve">have </w:t>
      </w:r>
      <w:r w:rsidR="00607EEE" w:rsidRPr="00B11F54">
        <w:rPr>
          <w:rFonts w:cs="Arial"/>
        </w:rPr>
        <w:t>your data corrected</w:t>
      </w:r>
      <w:r w:rsidR="00607EEE">
        <w:rPr>
          <w:rFonts w:cs="Arial"/>
        </w:rPr>
        <w:t xml:space="preserve"> if it is incorrect or incomplete</w:t>
      </w:r>
    </w:p>
    <w:p w14:paraId="40F4940A" w14:textId="77777777" w:rsidR="00AB50CB" w:rsidRDefault="00194318" w:rsidP="00AB50CB">
      <w:pPr>
        <w:rPr>
          <w:rFonts w:cs="Arial"/>
        </w:rPr>
      </w:pPr>
      <w:r>
        <w:rPr>
          <w:rFonts w:cs="Arial"/>
        </w:rPr>
        <w:t xml:space="preserve">d. </w:t>
      </w:r>
      <w:r w:rsidR="00AB50CB">
        <w:rPr>
          <w:rFonts w:cs="Arial"/>
        </w:rPr>
        <w:t>to object to our use of your personal data in certain circumstances</w:t>
      </w:r>
    </w:p>
    <w:p w14:paraId="64528EA7" w14:textId="3D9A3A67" w:rsidR="008B2F88" w:rsidRDefault="00194318" w:rsidP="008B2F88">
      <w:pPr>
        <w:rPr>
          <w:rFonts w:cs="Arial"/>
        </w:rPr>
      </w:pPr>
      <w:r>
        <w:rPr>
          <w:rFonts w:cs="Arial"/>
        </w:rPr>
        <w:t>e</w:t>
      </w:r>
      <w:r w:rsidR="008B2F88" w:rsidRPr="00077503">
        <w:rPr>
          <w:rFonts w:cs="Arial"/>
        </w:rPr>
        <w:t>.</w:t>
      </w:r>
      <w:r w:rsidR="004805DF">
        <w:rPr>
          <w:rFonts w:cs="Arial"/>
        </w:rPr>
        <w:t xml:space="preserve"> </w:t>
      </w:r>
      <w:r w:rsidR="008B2F88" w:rsidRPr="00077503">
        <w:rPr>
          <w:rFonts w:cs="Arial"/>
        </w:rPr>
        <w:t xml:space="preserve">to lodge a complaint with the independent Information Commissioner (ICO) if you think we are not handling your data fairly or </w:t>
      </w:r>
      <w:r w:rsidR="008B2F88" w:rsidRPr="007401C0">
        <w:rPr>
          <w:rFonts w:cs="Arial"/>
        </w:rPr>
        <w:t xml:space="preserve">in accordance with the law.  You can contact the ICO at </w:t>
      </w:r>
      <w:hyperlink r:id="rId24" w:history="1">
        <w:r w:rsidR="0091240E" w:rsidRPr="00CA2093">
          <w:rPr>
            <w:rStyle w:val="Hyperlink"/>
            <w:rFonts w:cs="Arial"/>
          </w:rPr>
          <w:t>https://ico.org.uk/</w:t>
        </w:r>
      </w:hyperlink>
      <w:r w:rsidR="008B2F88" w:rsidRPr="007401C0">
        <w:rPr>
          <w:rFonts w:cs="Arial"/>
        </w:rPr>
        <w:t>,</w:t>
      </w:r>
      <w:r w:rsidR="0091240E">
        <w:rPr>
          <w:rFonts w:cs="Arial"/>
        </w:rPr>
        <w:t xml:space="preserve"> </w:t>
      </w:r>
      <w:r w:rsidR="008B2F88" w:rsidRPr="007401C0">
        <w:rPr>
          <w:rFonts w:cs="Arial"/>
        </w:rPr>
        <w:t>or telephone 0303 123 1113.</w:t>
      </w:r>
      <w:r w:rsidR="004805DF">
        <w:rPr>
          <w:rFonts w:cs="Arial"/>
        </w:rPr>
        <w:t xml:space="preserve"> </w:t>
      </w:r>
    </w:p>
    <w:p w14:paraId="60BF47EC" w14:textId="25372604" w:rsidR="000F34D0" w:rsidRDefault="000F34D0" w:rsidP="008B2F88">
      <w:pPr>
        <w:rPr>
          <w:rFonts w:cs="Arial"/>
        </w:rPr>
      </w:pPr>
    </w:p>
    <w:p w14:paraId="29FABE5F" w14:textId="1B4293C4" w:rsidR="00776A20" w:rsidRPr="007401C0" w:rsidRDefault="00776A20" w:rsidP="00776A20">
      <w:pPr>
        <w:rPr>
          <w:rFonts w:cs="Arial"/>
        </w:rPr>
      </w:pPr>
      <w:r>
        <w:rPr>
          <w:rFonts w:cs="Arial"/>
        </w:rPr>
        <w:t xml:space="preserve">Please contact us at the following address if you wish to exercise the rights listed above, except the right to lodge a complaint with the ICO: </w:t>
      </w:r>
      <w:hyperlink r:id="rId25" w:history="1">
        <w:r w:rsidR="00E81B1F" w:rsidRPr="00493F4C">
          <w:rPr>
            <w:rStyle w:val="Hyperlink"/>
            <w:rFonts w:cs="Arial"/>
          </w:rPr>
          <w:t>dataprotection@levellingup.gov.uk</w:t>
        </w:r>
      </w:hyperlink>
      <w:r>
        <w:rPr>
          <w:rFonts w:cs="Arial"/>
        </w:rPr>
        <w:t xml:space="preserve"> or Knowledge and Information Access Team, </w:t>
      </w:r>
      <w:r w:rsidR="00572581">
        <w:rPr>
          <w:rFonts w:cs="Arial"/>
        </w:rPr>
        <w:t>Department for Levelling Up, Housing and Communities</w:t>
      </w:r>
      <w:r>
        <w:rPr>
          <w:rFonts w:cs="Arial"/>
        </w:rPr>
        <w:t>, Fry Building, 2 Marsham Street, London SW1P 4DF.</w:t>
      </w:r>
    </w:p>
    <w:p w14:paraId="60965939" w14:textId="77777777" w:rsidR="004805DF" w:rsidRPr="007401C0" w:rsidRDefault="004805DF" w:rsidP="008B2F88">
      <w:pPr>
        <w:rPr>
          <w:rFonts w:cs="Arial"/>
        </w:rPr>
      </w:pPr>
    </w:p>
    <w:p w14:paraId="4126CB0F" w14:textId="22CD6C38" w:rsidR="005D393F" w:rsidRPr="001B00E1" w:rsidRDefault="00572581" w:rsidP="008B2F88">
      <w:pPr>
        <w:rPr>
          <w:rFonts w:cs="Arial"/>
          <w:b/>
        </w:rPr>
      </w:pPr>
      <w:r>
        <w:rPr>
          <w:rFonts w:cs="Arial"/>
          <w:b/>
        </w:rPr>
        <w:t>7</w:t>
      </w:r>
      <w:r w:rsidR="008B2F88" w:rsidRPr="001B00E1">
        <w:rPr>
          <w:rFonts w:cs="Arial"/>
          <w:b/>
        </w:rPr>
        <w:t>.</w:t>
      </w:r>
      <w:r w:rsidR="004805DF">
        <w:rPr>
          <w:rFonts w:cs="Arial"/>
          <w:b/>
        </w:rPr>
        <w:t xml:space="preserve"> </w:t>
      </w:r>
      <w:r w:rsidR="008B2F88" w:rsidRPr="001B00E1">
        <w:rPr>
          <w:rFonts w:cs="Arial"/>
          <w:b/>
        </w:rPr>
        <w:t>Your personal data will not be sent overseas</w:t>
      </w:r>
      <w:r w:rsidR="00E2428C">
        <w:rPr>
          <w:rFonts w:cs="Arial"/>
          <w:b/>
        </w:rPr>
        <w:t>.</w:t>
      </w:r>
    </w:p>
    <w:p w14:paraId="64528EA9" w14:textId="77777777" w:rsidR="00EA3E5B" w:rsidRPr="00EA3E5B" w:rsidRDefault="00EA3E5B" w:rsidP="008B2F88">
      <w:pPr>
        <w:rPr>
          <w:rFonts w:cs="Arial"/>
        </w:rPr>
      </w:pPr>
    </w:p>
    <w:p w14:paraId="64528EAA" w14:textId="69758BD0" w:rsidR="00EA3E5B" w:rsidRDefault="00572581" w:rsidP="008B2F88">
      <w:pPr>
        <w:rPr>
          <w:rFonts w:cs="Arial"/>
          <w:b/>
        </w:rPr>
      </w:pPr>
      <w:r>
        <w:rPr>
          <w:rFonts w:cs="Arial"/>
          <w:b/>
        </w:rPr>
        <w:t>8</w:t>
      </w:r>
      <w:r w:rsidR="008B2F88" w:rsidRPr="00EA3E5B">
        <w:rPr>
          <w:rFonts w:cs="Arial"/>
          <w:b/>
        </w:rPr>
        <w:t>.</w:t>
      </w:r>
      <w:r w:rsidR="004805DF">
        <w:rPr>
          <w:rFonts w:cs="Arial"/>
          <w:b/>
        </w:rPr>
        <w:t xml:space="preserve"> </w:t>
      </w:r>
      <w:r w:rsidR="008B2F88" w:rsidRPr="00EA3E5B">
        <w:rPr>
          <w:rFonts w:cs="Arial"/>
          <w:b/>
        </w:rPr>
        <w:t>Your personal data will not be used for any automated decision making.</w:t>
      </w:r>
    </w:p>
    <w:p w14:paraId="64528EAB" w14:textId="77777777" w:rsidR="008B2F88" w:rsidRPr="00EA3E5B" w:rsidRDefault="008B2F88" w:rsidP="008B2F88">
      <w:pPr>
        <w:rPr>
          <w:rFonts w:cs="Arial"/>
          <w:b/>
        </w:rPr>
      </w:pPr>
      <w:r w:rsidRPr="00EA3E5B">
        <w:rPr>
          <w:rFonts w:cs="Arial"/>
          <w:b/>
        </w:rPr>
        <w:t xml:space="preserve">                    </w:t>
      </w:r>
    </w:p>
    <w:p w14:paraId="64528EAD" w14:textId="5D81884C" w:rsidR="008B2F88" w:rsidRDefault="00572581" w:rsidP="008B2F88">
      <w:pPr>
        <w:rPr>
          <w:rFonts w:cs="Arial"/>
          <w:b/>
        </w:rPr>
      </w:pPr>
      <w:r>
        <w:rPr>
          <w:rFonts w:cs="Arial"/>
          <w:b/>
        </w:rPr>
        <w:t>9</w:t>
      </w:r>
      <w:r w:rsidR="008B2F88" w:rsidRPr="00EA3E5B">
        <w:rPr>
          <w:rFonts w:cs="Arial"/>
          <w:b/>
        </w:rPr>
        <w:t>.</w:t>
      </w:r>
      <w:r w:rsidR="004805DF">
        <w:rPr>
          <w:rFonts w:cs="Arial"/>
          <w:b/>
        </w:rPr>
        <w:t xml:space="preserve"> </w:t>
      </w:r>
      <w:r w:rsidR="008B2F88" w:rsidRPr="00EA3E5B">
        <w:rPr>
          <w:rFonts w:cs="Arial"/>
          <w:b/>
        </w:rPr>
        <w:t>Your personal data will be stored in a secure government IT system.</w:t>
      </w:r>
    </w:p>
    <w:p w14:paraId="3920C14E" w14:textId="77777777" w:rsidR="00F775FE" w:rsidRDefault="00F775FE" w:rsidP="008B2F88">
      <w:pPr>
        <w:rPr>
          <w:rFonts w:cs="Arial"/>
          <w:lang w:eastAsia="en-GB"/>
        </w:rPr>
      </w:pPr>
    </w:p>
    <w:p w14:paraId="28E2CA48" w14:textId="6A617DB7" w:rsidR="00F61284" w:rsidRDefault="00F61284" w:rsidP="008B2F88">
      <w:pPr>
        <w:rPr>
          <w:rFonts w:cs="Arial"/>
          <w:color w:val="201F1E"/>
        </w:rPr>
      </w:pPr>
      <w:r w:rsidRPr="5D19435F">
        <w:rPr>
          <w:rFonts w:cs="Arial"/>
          <w:lang w:eastAsia="en-GB"/>
        </w:rPr>
        <w:t>We use a third-party system, Citizen Space, to collect consultation responses. In the first instance your personal data will be stored on their secure UK-based server. Your personal data will be transferred to our secure government IT system as soon as possible</w:t>
      </w:r>
      <w:r w:rsidRPr="5D19435F">
        <w:rPr>
          <w:rFonts w:ascii="Calibri" w:hAnsi="Calibri" w:cs="Calibri"/>
          <w:color w:val="201F1E"/>
          <w:sz w:val="22"/>
          <w:szCs w:val="22"/>
          <w:shd w:val="clear" w:color="auto" w:fill="FFFFFF"/>
        </w:rPr>
        <w:t>,</w:t>
      </w:r>
      <w:r w:rsidRPr="5D19435F">
        <w:rPr>
          <w:rFonts w:cs="Arial"/>
          <w:color w:val="201F1E"/>
          <w:shd w:val="clear" w:color="auto" w:fill="FFFFFF"/>
        </w:rPr>
        <w:t xml:space="preserve"> and it will be stored there for two years before it is deleted.</w:t>
      </w:r>
    </w:p>
    <w:p w14:paraId="2C189B92" w14:textId="47150ADA" w:rsidR="00E4611F" w:rsidRDefault="00E4611F" w:rsidP="008B2F88">
      <w:pPr>
        <w:rPr>
          <w:rFonts w:cs="Arial"/>
          <w:b/>
        </w:rPr>
      </w:pPr>
    </w:p>
    <w:p w14:paraId="64528EAE" w14:textId="77777777" w:rsidR="00603443" w:rsidRPr="00DD147F" w:rsidRDefault="00603443" w:rsidP="00DD147F"/>
    <w:sectPr w:rsidR="00603443" w:rsidRPr="00DD147F" w:rsidSect="0084352F">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5130" w14:textId="77777777" w:rsidR="00EB05C3" w:rsidRDefault="00EB05C3">
      <w:r>
        <w:separator/>
      </w:r>
    </w:p>
    <w:p w14:paraId="05998804" w14:textId="77777777" w:rsidR="00EB05C3" w:rsidRDefault="00EB05C3"/>
  </w:endnote>
  <w:endnote w:type="continuationSeparator" w:id="0">
    <w:p w14:paraId="1EDF2488" w14:textId="77777777" w:rsidR="00EB05C3" w:rsidRDefault="00EB05C3">
      <w:r>
        <w:continuationSeparator/>
      </w:r>
    </w:p>
    <w:p w14:paraId="71894175" w14:textId="77777777" w:rsidR="00EB05C3" w:rsidRDefault="00EB05C3"/>
  </w:endnote>
  <w:endnote w:type="continuationNotice" w:id="1">
    <w:p w14:paraId="728A2C9B" w14:textId="77777777" w:rsidR="00EB05C3" w:rsidRDefault="00EB0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7A02" w14:textId="77777777" w:rsidR="00EB05C3" w:rsidRDefault="00EB05C3">
      <w:r>
        <w:separator/>
      </w:r>
    </w:p>
    <w:p w14:paraId="7C3A7591" w14:textId="77777777" w:rsidR="00EB05C3" w:rsidRDefault="00EB05C3"/>
  </w:footnote>
  <w:footnote w:type="continuationSeparator" w:id="0">
    <w:p w14:paraId="18EEB83F" w14:textId="77777777" w:rsidR="00EB05C3" w:rsidRDefault="00EB05C3">
      <w:r>
        <w:continuationSeparator/>
      </w:r>
    </w:p>
    <w:p w14:paraId="191F1611" w14:textId="77777777" w:rsidR="00EB05C3" w:rsidRDefault="00EB05C3"/>
  </w:footnote>
  <w:footnote w:type="continuationNotice" w:id="1">
    <w:p w14:paraId="4A343B64" w14:textId="77777777" w:rsidR="00EB05C3" w:rsidRDefault="00EB05C3"/>
  </w:footnote>
  <w:footnote w:id="2">
    <w:p w14:paraId="17190F9B" w14:textId="4901833A" w:rsidR="004E1C0E" w:rsidRDefault="004E1C0E">
      <w:pPr>
        <w:pStyle w:val="FootnoteText"/>
      </w:pPr>
      <w:r>
        <w:rPr>
          <w:rStyle w:val="FootnoteReference"/>
        </w:rPr>
        <w:footnoteRef/>
      </w:r>
      <w:r>
        <w:t xml:space="preserve"> </w:t>
      </w:r>
      <w:r w:rsidR="005741BA" w:rsidRPr="007E43AA">
        <w:rPr>
          <w:sz w:val="18"/>
          <w:szCs w:val="18"/>
        </w:rPr>
        <w:t>In October 2021, DLUHC announced a</w:t>
      </w:r>
      <w:r w:rsidR="00611791" w:rsidRPr="007E43AA">
        <w:rPr>
          <w:sz w:val="18"/>
          <w:szCs w:val="18"/>
        </w:rPr>
        <w:t xml:space="preserve"> one-off</w:t>
      </w:r>
      <w:r w:rsidR="005741BA" w:rsidRPr="007E43AA">
        <w:rPr>
          <w:sz w:val="18"/>
          <w:szCs w:val="18"/>
        </w:rPr>
        <w:t xml:space="preserve"> exceptional </w:t>
      </w:r>
      <w:r w:rsidR="00611791" w:rsidRPr="007E43AA">
        <w:rPr>
          <w:sz w:val="18"/>
          <w:szCs w:val="18"/>
        </w:rPr>
        <w:t xml:space="preserve">£65m </w:t>
      </w:r>
      <w:r w:rsidR="005741BA" w:rsidRPr="007E43AA">
        <w:rPr>
          <w:sz w:val="18"/>
          <w:szCs w:val="18"/>
        </w:rPr>
        <w:t>top-up to the Homelessness Prevention Grant for 2022-23</w:t>
      </w:r>
      <w:r w:rsidR="008F3AF5" w:rsidRPr="007E43AA">
        <w:rPr>
          <w:sz w:val="18"/>
          <w:szCs w:val="18"/>
        </w:rPr>
        <w:t xml:space="preserve">, to help </w:t>
      </w:r>
      <w:r w:rsidR="00250801" w:rsidRPr="007E43AA">
        <w:rPr>
          <w:sz w:val="18"/>
          <w:szCs w:val="18"/>
        </w:rPr>
        <w:t>households who were in rent arrears</w:t>
      </w:r>
      <w:r w:rsidR="008F3AF5" w:rsidRPr="007E43AA">
        <w:rPr>
          <w:sz w:val="18"/>
          <w:szCs w:val="18"/>
        </w:rPr>
        <w:t xml:space="preserve"> </w:t>
      </w:r>
      <w:r w:rsidR="00725D96" w:rsidRPr="007E43AA">
        <w:rPr>
          <w:sz w:val="18"/>
          <w:szCs w:val="18"/>
        </w:rPr>
        <w:t xml:space="preserve">and </w:t>
      </w:r>
      <w:r w:rsidR="00611791" w:rsidRPr="007E43AA">
        <w:rPr>
          <w:sz w:val="18"/>
          <w:szCs w:val="18"/>
        </w:rPr>
        <w:t xml:space="preserve">struggling </w:t>
      </w:r>
      <w:r w:rsidR="003A4B42" w:rsidRPr="007E43AA">
        <w:rPr>
          <w:sz w:val="18"/>
          <w:szCs w:val="18"/>
        </w:rPr>
        <w:t>due to the impact of the pandemic</w:t>
      </w:r>
      <w:r w:rsidR="00250801" w:rsidRPr="007E43AA">
        <w:rPr>
          <w:sz w:val="18"/>
          <w:szCs w:val="18"/>
        </w:rPr>
        <w:t xml:space="preserve">. </w:t>
      </w:r>
      <w:r w:rsidR="00725D96" w:rsidRPr="007E43AA">
        <w:rPr>
          <w:sz w:val="18"/>
          <w:szCs w:val="18"/>
        </w:rPr>
        <w:t>This additional funding was provided to local authorities in December 2021.</w:t>
      </w:r>
    </w:p>
  </w:footnote>
  <w:footnote w:id="3">
    <w:p w14:paraId="1865A507" w14:textId="6E68C084" w:rsidR="00D66884" w:rsidRPr="00D66884" w:rsidRDefault="00D66884">
      <w:pPr>
        <w:pStyle w:val="FootnoteText"/>
        <w:rPr>
          <w:sz w:val="18"/>
          <w:szCs w:val="18"/>
        </w:rPr>
      </w:pPr>
      <w:r w:rsidRPr="00D66884">
        <w:rPr>
          <w:rStyle w:val="FootnoteReference"/>
          <w:sz w:val="18"/>
          <w:szCs w:val="18"/>
        </w:rPr>
        <w:footnoteRef/>
      </w:r>
      <w:r w:rsidRPr="00D66884">
        <w:rPr>
          <w:sz w:val="18"/>
          <w:szCs w:val="18"/>
        </w:rPr>
        <w:t xml:space="preserve"> </w:t>
      </w:r>
      <w:r w:rsidRPr="00D66884">
        <w:rPr>
          <w:rFonts w:eastAsia="Arial" w:cs="Arial"/>
          <w:sz w:val="18"/>
          <w:szCs w:val="18"/>
        </w:rPr>
        <w:t xml:space="preserve">Some homelessness funding is subject to </w:t>
      </w:r>
      <w:r w:rsidRPr="00D66884">
        <w:rPr>
          <w:rFonts w:cs="Arial"/>
          <w:color w:val="202124"/>
          <w:sz w:val="18"/>
          <w:szCs w:val="18"/>
          <w:shd w:val="clear" w:color="auto" w:fill="FFFFFF"/>
        </w:rPr>
        <w:t>departmental expenditure limits (DEL). Local authorities can also access AME funding (annually managed expenditure which is generally spending that is demand-led and therefore harder to predict, and so not subject to firm limits) from Housing Benefit to help meet TA costs.</w:t>
      </w:r>
    </w:p>
  </w:footnote>
  <w:footnote w:id="4">
    <w:p w14:paraId="0DD98FDF" w14:textId="175CAB5A" w:rsidR="003F027B" w:rsidRDefault="003F027B">
      <w:pPr>
        <w:pStyle w:val="FootnoteText"/>
      </w:pPr>
      <w:r>
        <w:rPr>
          <w:rStyle w:val="FootnoteReference"/>
        </w:rPr>
        <w:footnoteRef/>
      </w:r>
      <w:r>
        <w:t xml:space="preserve"> </w:t>
      </w:r>
      <w:r w:rsidR="009118EA">
        <w:t xml:space="preserve">In this consultation, </w:t>
      </w:r>
      <w:r w:rsidR="00501AA9">
        <w:t xml:space="preserve">for ease of comparison </w:t>
      </w:r>
      <w:r w:rsidR="009118EA">
        <w:t xml:space="preserve">we are using the core funding amount </w:t>
      </w:r>
      <w:r w:rsidR="0021470B">
        <w:t xml:space="preserve">for 21/22 </w:t>
      </w:r>
      <w:r w:rsidR="009118EA">
        <w:t xml:space="preserve">of £310m </w:t>
      </w:r>
      <w:r w:rsidR="0021470B">
        <w:t>to</w:t>
      </w:r>
      <w:r w:rsidR="000528A8">
        <w:t xml:space="preserve"> explain the funding formula and to demonstrate the impact of the proposals. This </w:t>
      </w:r>
      <w:r w:rsidR="00107277">
        <w:t xml:space="preserve">excludes the domestic abuse new burdens funding which </w:t>
      </w:r>
      <w:r w:rsidR="00083504">
        <w:t>in 22/23 was paid as part of the Homelessness Prevention Grant but is expected to increase over time, which makes comparisons more challenging.</w:t>
      </w:r>
      <w:r w:rsidR="0021470B">
        <w:t xml:space="preserve"> </w:t>
      </w:r>
    </w:p>
  </w:footnote>
  <w:footnote w:id="5">
    <w:p w14:paraId="38DCC490" w14:textId="2D3DF887" w:rsidR="002C0EB2" w:rsidRDefault="002C0EB2">
      <w:pPr>
        <w:pStyle w:val="FootnoteText"/>
      </w:pPr>
      <w:r>
        <w:rPr>
          <w:rStyle w:val="FootnoteReference"/>
        </w:rPr>
        <w:footnoteRef/>
      </w:r>
      <w:r>
        <w:t xml:space="preserve"> </w:t>
      </w:r>
      <w:r w:rsidRPr="002C0EB2">
        <w:rPr>
          <w:sz w:val="18"/>
          <w:szCs w:val="18"/>
        </w:rPr>
        <w:t>Lower Tier Local Authority Area Cost Adjustment, as used in the Covid-19 Relative Needs Formula: https://assets.publishing.service.gov.uk/government/uploads/system/uploads/attachment_data/file/928337/Technical_Note_October2020Allocations.pdf</w:t>
      </w:r>
    </w:p>
  </w:footnote>
  <w:footnote w:id="6">
    <w:p w14:paraId="4D6B6395" w14:textId="2EC1FDCF" w:rsidR="00E90A21" w:rsidRPr="0094451D" w:rsidRDefault="00E90A21" w:rsidP="00E90A21">
      <w:pPr>
        <w:pStyle w:val="Default"/>
        <w:spacing w:after="120" w:line="259" w:lineRule="auto"/>
        <w:rPr>
          <w:rFonts w:ascii="Arial" w:eastAsia="Arial" w:hAnsi="Arial" w:cs="Arial"/>
        </w:rPr>
      </w:pPr>
      <w:r>
        <w:rPr>
          <w:rStyle w:val="FootnoteReference"/>
        </w:rPr>
        <w:footnoteRef/>
      </w:r>
      <w:r>
        <w:t xml:space="preserve"> </w:t>
      </w:r>
      <w:r w:rsidRPr="00DC5AE7">
        <w:rPr>
          <w:rFonts w:ascii="Arial" w:eastAsia="Arial" w:hAnsi="Arial" w:cs="Arial"/>
          <w:sz w:val="18"/>
          <w:szCs w:val="18"/>
        </w:rPr>
        <w:t xml:space="preserve">Historic temporary accommodation spend is sourced from DLUHC Local authority revenue expenditure and financing, Revenue outturn housing services (RO4). Available </w:t>
      </w:r>
      <w:hyperlink r:id="rId1" w:history="1">
        <w:r w:rsidRPr="00DC5AE7">
          <w:rPr>
            <w:rStyle w:val="Hyperlink"/>
            <w:rFonts w:ascii="Arial" w:eastAsia="Calibri" w:hAnsi="Arial" w:cs="Arial"/>
            <w:sz w:val="18"/>
            <w:szCs w:val="18"/>
          </w:rPr>
          <w:t>here</w:t>
        </w:r>
      </w:hyperlink>
      <w:r w:rsidRPr="00DC5AE7">
        <w:rPr>
          <w:rFonts w:ascii="Arial" w:eastAsia="Arial" w:hAnsi="Arial" w:cs="Arial"/>
          <w:sz w:val="18"/>
          <w:szCs w:val="18"/>
        </w:rPr>
        <w:t>.</w:t>
      </w:r>
    </w:p>
  </w:footnote>
  <w:footnote w:id="7">
    <w:p w14:paraId="0BE210C7" w14:textId="3CB91616" w:rsidR="00445B6C" w:rsidRDefault="00445B6C" w:rsidP="00445B6C">
      <w:pPr>
        <w:pStyle w:val="FootnoteText"/>
      </w:pPr>
      <w:r>
        <w:rPr>
          <w:rStyle w:val="FootnoteReference"/>
        </w:rPr>
        <w:footnoteRef/>
      </w:r>
      <w:r>
        <w:t xml:space="preserve"> </w:t>
      </w:r>
      <w:r w:rsidRPr="0013001E">
        <w:rPr>
          <w:sz w:val="18"/>
          <w:szCs w:val="18"/>
        </w:rPr>
        <w:t xml:space="preserve">Local authority population data is sourced from ONS Estimates of the population for the UK, England and Wales, Scotland and Northern Ireland. Available </w:t>
      </w:r>
      <w:hyperlink r:id="rId2" w:history="1">
        <w:r w:rsidRPr="0013001E">
          <w:rPr>
            <w:rStyle w:val="Hyperlink"/>
            <w:sz w:val="18"/>
            <w:szCs w:val="18"/>
          </w:rPr>
          <w:t>here</w:t>
        </w:r>
      </w:hyperlink>
      <w:r w:rsidRPr="0013001E">
        <w:rPr>
          <w:sz w:val="18"/>
          <w:szCs w:val="18"/>
        </w:rPr>
        <w:t>.</w:t>
      </w:r>
      <w:r w:rsidR="00EE2F89" w:rsidRPr="00EE2F89">
        <w:rPr>
          <w:sz w:val="18"/>
          <w:szCs w:val="18"/>
        </w:rPr>
        <w:t xml:space="preserve"> </w:t>
      </w:r>
      <w:r w:rsidR="00EE2F89" w:rsidRPr="0013001E">
        <w:rPr>
          <w:sz w:val="18"/>
          <w:szCs w:val="18"/>
        </w:rPr>
        <w:t xml:space="preserve">Area cost adjustment data is sourced from DLUHC Area cost adjustment. Available </w:t>
      </w:r>
      <w:hyperlink r:id="rId3" w:history="1">
        <w:r w:rsidR="00EE2F89" w:rsidRPr="0013001E">
          <w:rPr>
            <w:rStyle w:val="Hyperlink"/>
            <w:sz w:val="18"/>
            <w:szCs w:val="18"/>
          </w:rPr>
          <w:t>here</w:t>
        </w:r>
      </w:hyperlink>
      <w:r w:rsidR="00EE2F89" w:rsidRPr="0013001E">
        <w:rPr>
          <w:sz w:val="18"/>
          <w:szCs w:val="18"/>
        </w:rPr>
        <w:t>.</w:t>
      </w:r>
    </w:p>
  </w:footnote>
  <w:footnote w:id="8">
    <w:p w14:paraId="1E936765" w14:textId="244C4FB8" w:rsidR="00AA1956" w:rsidRDefault="00AA1956">
      <w:pPr>
        <w:pStyle w:val="FootnoteText"/>
      </w:pPr>
      <w:r>
        <w:rPr>
          <w:rStyle w:val="FootnoteReference"/>
        </w:rPr>
        <w:footnoteRef/>
      </w:r>
      <w:r>
        <w:t xml:space="preserve"> </w:t>
      </w:r>
      <w:r w:rsidRPr="00545F38">
        <w:rPr>
          <w:rFonts w:cstheme="minorHAnsi"/>
        </w:rPr>
        <w:t xml:space="preserve">Lower quartile monthly private rented sector rents for two-bedroom properties: </w:t>
      </w:r>
      <w:hyperlink r:id="rId4" w:history="1">
        <w:r w:rsidRPr="00545F38">
          <w:rPr>
            <w:rStyle w:val="Hyperlink"/>
            <w:rFonts w:cstheme="minorHAnsi"/>
          </w:rPr>
          <w:t>https://www.ons.gov.uk/peoplepopulationandcommunity/housing/datasets/privaterentalmarketsummarystatisticsinengland</w:t>
        </w:r>
      </w:hyperlink>
      <w:r w:rsidRPr="00545F38">
        <w:rPr>
          <w:rFonts w:cstheme="minorHAnsi"/>
        </w:rPr>
        <w:t>, Table 2.4</w:t>
      </w:r>
    </w:p>
  </w:footnote>
  <w:footnote w:id="9">
    <w:p w14:paraId="2FDB5A98" w14:textId="2BA22079" w:rsidR="53EF9F7E" w:rsidRDefault="53EF9F7E" w:rsidP="53EF9F7E">
      <w:pPr>
        <w:pStyle w:val="FootnoteText"/>
        <w:rPr>
          <w:rFonts w:ascii="Calibri" w:eastAsia="Calibri" w:hAnsi="Calibri" w:cs="Calibri"/>
          <w:color w:val="C55A11"/>
          <w:sz w:val="24"/>
          <w:szCs w:val="24"/>
        </w:rPr>
      </w:pPr>
      <w:r w:rsidRPr="53EF9F7E">
        <w:rPr>
          <w:rStyle w:val="FootnoteReference"/>
        </w:rPr>
        <w:footnoteRef/>
      </w:r>
      <w:r>
        <w:t xml:space="preserve"> In order to assess whether data is publishable, DLUHC check that LAs have signed off their quality assurance reports and, in some cases, ask the LA to provide an explanation of large quarter on quarter changes.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B4CAFC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2" w15:restartNumberingAfterBreak="0">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3" w15:restartNumberingAfterBreak="0">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1263E9"/>
    <w:multiLevelType w:val="hybridMultilevel"/>
    <w:tmpl w:val="FFFFFFFF"/>
    <w:lvl w:ilvl="0" w:tplc="45E23C98">
      <w:start w:val="1"/>
      <w:numFmt w:val="decimal"/>
      <w:lvlText w:val="%1."/>
      <w:lvlJc w:val="left"/>
      <w:pPr>
        <w:ind w:left="720" w:hanging="360"/>
      </w:pPr>
    </w:lvl>
    <w:lvl w:ilvl="1" w:tplc="DFEE417A">
      <w:start w:val="1"/>
      <w:numFmt w:val="decimal"/>
      <w:lvlText w:val="%2."/>
      <w:lvlJc w:val="left"/>
      <w:pPr>
        <w:ind w:left="1440" w:hanging="360"/>
      </w:pPr>
    </w:lvl>
    <w:lvl w:ilvl="2" w:tplc="5C3A76E4">
      <w:start w:val="1"/>
      <w:numFmt w:val="lowerRoman"/>
      <w:lvlText w:val="%3."/>
      <w:lvlJc w:val="right"/>
      <w:pPr>
        <w:ind w:left="2160" w:hanging="180"/>
      </w:pPr>
    </w:lvl>
    <w:lvl w:ilvl="3" w:tplc="72F46F6A">
      <w:start w:val="1"/>
      <w:numFmt w:val="decimal"/>
      <w:lvlText w:val="%4."/>
      <w:lvlJc w:val="left"/>
      <w:pPr>
        <w:ind w:left="2880" w:hanging="360"/>
      </w:pPr>
    </w:lvl>
    <w:lvl w:ilvl="4" w:tplc="95D0D75A">
      <w:start w:val="1"/>
      <w:numFmt w:val="lowerLetter"/>
      <w:lvlText w:val="%5."/>
      <w:lvlJc w:val="left"/>
      <w:pPr>
        <w:ind w:left="3600" w:hanging="360"/>
      </w:pPr>
    </w:lvl>
    <w:lvl w:ilvl="5" w:tplc="37BED57C">
      <w:start w:val="1"/>
      <w:numFmt w:val="lowerRoman"/>
      <w:lvlText w:val="%6."/>
      <w:lvlJc w:val="right"/>
      <w:pPr>
        <w:ind w:left="4320" w:hanging="180"/>
      </w:pPr>
    </w:lvl>
    <w:lvl w:ilvl="6" w:tplc="ABE4DD26">
      <w:start w:val="1"/>
      <w:numFmt w:val="decimal"/>
      <w:lvlText w:val="%7."/>
      <w:lvlJc w:val="left"/>
      <w:pPr>
        <w:ind w:left="5040" w:hanging="360"/>
      </w:pPr>
    </w:lvl>
    <w:lvl w:ilvl="7" w:tplc="8878C530">
      <w:start w:val="1"/>
      <w:numFmt w:val="lowerLetter"/>
      <w:lvlText w:val="%8."/>
      <w:lvlJc w:val="left"/>
      <w:pPr>
        <w:ind w:left="5760" w:hanging="360"/>
      </w:pPr>
    </w:lvl>
    <w:lvl w:ilvl="8" w:tplc="3642E6C0">
      <w:start w:val="1"/>
      <w:numFmt w:val="lowerRoman"/>
      <w:lvlText w:val="%9."/>
      <w:lvlJc w:val="right"/>
      <w:pPr>
        <w:ind w:left="6480" w:hanging="180"/>
      </w:pPr>
    </w:lvl>
  </w:abstractNum>
  <w:abstractNum w:abstractNumId="5" w15:restartNumberingAfterBreak="0">
    <w:nsid w:val="012D54D7"/>
    <w:multiLevelType w:val="multilevel"/>
    <w:tmpl w:val="462C51FE"/>
    <w:lvl w:ilvl="0">
      <w:start w:val="6"/>
      <w:numFmt w:val="decimal"/>
      <w:lvlText w:val="%1."/>
      <w:lvlJc w:val="left"/>
      <w:pPr>
        <w:ind w:left="400" w:hanging="400"/>
      </w:pPr>
      <w:rPr>
        <w:rFonts w:hint="default"/>
      </w:rPr>
    </w:lvl>
    <w:lvl w:ilvl="1">
      <w:start w:val="1"/>
      <w:numFmt w:val="decimal"/>
      <w:lvlText w:val="%1.%2."/>
      <w:lvlJc w:val="left"/>
      <w:pPr>
        <w:ind w:left="720" w:hanging="720"/>
      </w:pPr>
      <w:rPr>
        <w:rFonts w:ascii="Arial" w:hAnsi="Arial" w:cs="Arial"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5A073CB"/>
    <w:multiLevelType w:val="multilevel"/>
    <w:tmpl w:val="031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5317"/>
    <w:multiLevelType w:val="hybridMultilevel"/>
    <w:tmpl w:val="A8D21004"/>
    <w:lvl w:ilvl="0" w:tplc="08090001">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C155CC"/>
    <w:multiLevelType w:val="hybridMultilevel"/>
    <w:tmpl w:val="72128B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0F78FE"/>
    <w:multiLevelType w:val="multilevel"/>
    <w:tmpl w:val="EDDEE38A"/>
    <w:lvl w:ilvl="0">
      <w:start w:val="4"/>
      <w:numFmt w:val="decimal"/>
      <w:lvlText w:val="%1."/>
      <w:lvlJc w:val="left"/>
      <w:pPr>
        <w:ind w:left="360" w:hanging="360"/>
      </w:pPr>
      <w:rPr>
        <w:rFonts w:hint="default"/>
        <w:sz w:val="28"/>
        <w:szCs w:val="28"/>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9B0BB1"/>
    <w:multiLevelType w:val="hybridMultilevel"/>
    <w:tmpl w:val="765C3F3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A15745"/>
    <w:multiLevelType w:val="hybridMultilevel"/>
    <w:tmpl w:val="58367186"/>
    <w:lvl w:ilvl="0" w:tplc="C598138E">
      <w:start w:val="1"/>
      <w:numFmt w:val="decimal"/>
      <w:lvlText w:val="%1."/>
      <w:lvlJc w:val="left"/>
      <w:pPr>
        <w:ind w:left="720" w:hanging="360"/>
      </w:pPr>
    </w:lvl>
    <w:lvl w:ilvl="1" w:tplc="A9C44204">
      <w:start w:val="1"/>
      <w:numFmt w:val="decimal"/>
      <w:lvlText w:val="%2."/>
      <w:lvlJc w:val="left"/>
      <w:pPr>
        <w:ind w:left="1440" w:hanging="360"/>
      </w:pPr>
    </w:lvl>
    <w:lvl w:ilvl="2" w:tplc="E63E9934">
      <w:start w:val="1"/>
      <w:numFmt w:val="lowerRoman"/>
      <w:lvlText w:val="%3."/>
      <w:lvlJc w:val="right"/>
      <w:pPr>
        <w:ind w:left="2160" w:hanging="180"/>
      </w:pPr>
    </w:lvl>
    <w:lvl w:ilvl="3" w:tplc="E3E6A3AA">
      <w:start w:val="1"/>
      <w:numFmt w:val="decimal"/>
      <w:lvlText w:val="%4."/>
      <w:lvlJc w:val="left"/>
      <w:pPr>
        <w:ind w:left="2880" w:hanging="360"/>
      </w:pPr>
    </w:lvl>
    <w:lvl w:ilvl="4" w:tplc="3D94C8D6">
      <w:start w:val="1"/>
      <w:numFmt w:val="lowerLetter"/>
      <w:lvlText w:val="%5."/>
      <w:lvlJc w:val="left"/>
      <w:pPr>
        <w:ind w:left="3600" w:hanging="360"/>
      </w:pPr>
    </w:lvl>
    <w:lvl w:ilvl="5" w:tplc="4D1CA64A">
      <w:start w:val="1"/>
      <w:numFmt w:val="lowerRoman"/>
      <w:lvlText w:val="%6."/>
      <w:lvlJc w:val="right"/>
      <w:pPr>
        <w:ind w:left="4320" w:hanging="180"/>
      </w:pPr>
    </w:lvl>
    <w:lvl w:ilvl="6" w:tplc="04B62360">
      <w:start w:val="1"/>
      <w:numFmt w:val="decimal"/>
      <w:lvlText w:val="%7."/>
      <w:lvlJc w:val="left"/>
      <w:pPr>
        <w:ind w:left="5040" w:hanging="360"/>
      </w:pPr>
    </w:lvl>
    <w:lvl w:ilvl="7" w:tplc="7B80822C">
      <w:start w:val="1"/>
      <w:numFmt w:val="lowerLetter"/>
      <w:lvlText w:val="%8."/>
      <w:lvlJc w:val="left"/>
      <w:pPr>
        <w:ind w:left="5760" w:hanging="360"/>
      </w:pPr>
    </w:lvl>
    <w:lvl w:ilvl="8" w:tplc="76F89318">
      <w:start w:val="1"/>
      <w:numFmt w:val="lowerRoman"/>
      <w:lvlText w:val="%9."/>
      <w:lvlJc w:val="right"/>
      <w:pPr>
        <w:ind w:left="6480" w:hanging="180"/>
      </w:pPr>
    </w:lvl>
  </w:abstractNum>
  <w:abstractNum w:abstractNumId="12" w15:restartNumberingAfterBreak="0">
    <w:nsid w:val="29ED20A7"/>
    <w:multiLevelType w:val="hybridMultilevel"/>
    <w:tmpl w:val="9BFA2F40"/>
    <w:lvl w:ilvl="0" w:tplc="08090001">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4" w15:restartNumberingAfterBreak="0">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E924F63"/>
    <w:multiLevelType w:val="hybridMultilevel"/>
    <w:tmpl w:val="DF928FDC"/>
    <w:lvl w:ilvl="0" w:tplc="A3CA15A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EB463BF"/>
    <w:multiLevelType w:val="hybridMultilevel"/>
    <w:tmpl w:val="65E4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D5703"/>
    <w:multiLevelType w:val="multilevel"/>
    <w:tmpl w:val="F7D66BF4"/>
    <w:lvl w:ilvl="0">
      <w:start w:val="4"/>
      <w:numFmt w:val="decimal"/>
      <w:lvlText w:val="%1."/>
      <w:lvlJc w:val="left"/>
      <w:pPr>
        <w:ind w:left="360" w:hanging="360"/>
      </w:pPr>
      <w:rPr>
        <w:rFonts w:hint="default"/>
        <w:color w:val="000000" w:themeColor="text1"/>
      </w:rPr>
    </w:lvl>
    <w:lvl w:ilvl="1">
      <w:start w:val="5"/>
      <w:numFmt w:val="decimal"/>
      <w:lvlText w:val="%1.%2."/>
      <w:lvlJc w:val="left"/>
      <w:pPr>
        <w:ind w:left="1429" w:hanging="720"/>
      </w:pPr>
      <w:rPr>
        <w:rFonts w:ascii="Arial" w:hAnsi="Arial" w:cs="Arial" w:hint="default"/>
        <w:b w:val="0"/>
        <w:bCs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8" w15:restartNumberingAfterBreak="0">
    <w:nsid w:val="32425437"/>
    <w:multiLevelType w:val="hybridMultilevel"/>
    <w:tmpl w:val="9C60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40C39"/>
    <w:multiLevelType w:val="hybridMultilevel"/>
    <w:tmpl w:val="BA7EE590"/>
    <w:lvl w:ilvl="0" w:tplc="D0303D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CA7C49"/>
    <w:multiLevelType w:val="hybridMultilevel"/>
    <w:tmpl w:val="9D4CDCC0"/>
    <w:lvl w:ilvl="0" w:tplc="08090001">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39010A"/>
    <w:multiLevelType w:val="hybridMultilevel"/>
    <w:tmpl w:val="1A101E8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305D61"/>
    <w:multiLevelType w:val="multilevel"/>
    <w:tmpl w:val="3C6A0144"/>
    <w:lvl w:ilvl="0">
      <w:start w:val="3"/>
      <w:numFmt w:val="decimal"/>
      <w:lvlText w:val="%1."/>
      <w:lvlJc w:val="left"/>
      <w:pPr>
        <w:ind w:left="400" w:hanging="400"/>
      </w:pPr>
      <w:rPr>
        <w:rFonts w:hint="default"/>
      </w:rPr>
    </w:lvl>
    <w:lvl w:ilvl="1">
      <w:start w:val="8"/>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9922B9"/>
    <w:multiLevelType w:val="hybridMultilevel"/>
    <w:tmpl w:val="7BCA7CC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021BB0"/>
    <w:multiLevelType w:val="hybridMultilevel"/>
    <w:tmpl w:val="BA2A6EA0"/>
    <w:lvl w:ilvl="0" w:tplc="4D94A970">
      <w:start w:val="2"/>
      <w:numFmt w:val="bullet"/>
      <w:lvlText w:val="-"/>
      <w:lvlJc w:val="left"/>
      <w:pPr>
        <w:ind w:left="1080" w:hanging="360"/>
      </w:pPr>
      <w:rPr>
        <w:rFonts w:ascii="Arial" w:eastAsia="Arial" w:hAnsi="Arial" w:cs="Aria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ABC632D"/>
    <w:multiLevelType w:val="hybridMultilevel"/>
    <w:tmpl w:val="F64A2DD6"/>
    <w:lvl w:ilvl="0" w:tplc="25F6AED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F628E"/>
    <w:multiLevelType w:val="hybridMultilevel"/>
    <w:tmpl w:val="48B84258"/>
    <w:lvl w:ilvl="0" w:tplc="740A3B0A">
      <w:start w:val="1"/>
      <w:numFmt w:val="decimal"/>
      <w:lvlText w:val="%1."/>
      <w:lvlJc w:val="left"/>
      <w:pPr>
        <w:ind w:left="720" w:hanging="360"/>
      </w:pPr>
    </w:lvl>
    <w:lvl w:ilvl="1" w:tplc="56F8FB1A">
      <w:start w:val="1"/>
      <w:numFmt w:val="decimal"/>
      <w:lvlText w:val="%2."/>
      <w:lvlJc w:val="left"/>
      <w:pPr>
        <w:ind w:left="1440" w:hanging="360"/>
      </w:pPr>
    </w:lvl>
    <w:lvl w:ilvl="2" w:tplc="971A4B44">
      <w:start w:val="1"/>
      <w:numFmt w:val="lowerRoman"/>
      <w:lvlText w:val="%3."/>
      <w:lvlJc w:val="right"/>
      <w:pPr>
        <w:ind w:left="2160" w:hanging="180"/>
      </w:pPr>
    </w:lvl>
    <w:lvl w:ilvl="3" w:tplc="F6A6EF38">
      <w:start w:val="1"/>
      <w:numFmt w:val="decimal"/>
      <w:lvlText w:val="%4."/>
      <w:lvlJc w:val="left"/>
      <w:pPr>
        <w:ind w:left="2880" w:hanging="360"/>
      </w:pPr>
    </w:lvl>
    <w:lvl w:ilvl="4" w:tplc="D6F85EDC">
      <w:start w:val="1"/>
      <w:numFmt w:val="lowerLetter"/>
      <w:lvlText w:val="%5."/>
      <w:lvlJc w:val="left"/>
      <w:pPr>
        <w:ind w:left="3600" w:hanging="360"/>
      </w:pPr>
    </w:lvl>
    <w:lvl w:ilvl="5" w:tplc="98464C8A">
      <w:start w:val="1"/>
      <w:numFmt w:val="lowerRoman"/>
      <w:lvlText w:val="%6."/>
      <w:lvlJc w:val="right"/>
      <w:pPr>
        <w:ind w:left="4320" w:hanging="180"/>
      </w:pPr>
    </w:lvl>
    <w:lvl w:ilvl="6" w:tplc="C42AF0E0">
      <w:start w:val="1"/>
      <w:numFmt w:val="decimal"/>
      <w:lvlText w:val="%7."/>
      <w:lvlJc w:val="left"/>
      <w:pPr>
        <w:ind w:left="5040" w:hanging="360"/>
      </w:pPr>
    </w:lvl>
    <w:lvl w:ilvl="7" w:tplc="56F69AEC">
      <w:start w:val="1"/>
      <w:numFmt w:val="lowerLetter"/>
      <w:lvlText w:val="%8."/>
      <w:lvlJc w:val="left"/>
      <w:pPr>
        <w:ind w:left="5760" w:hanging="360"/>
      </w:pPr>
    </w:lvl>
    <w:lvl w:ilvl="8" w:tplc="D9E84F02">
      <w:start w:val="1"/>
      <w:numFmt w:val="lowerRoman"/>
      <w:lvlText w:val="%9."/>
      <w:lvlJc w:val="right"/>
      <w:pPr>
        <w:ind w:left="6480" w:hanging="180"/>
      </w:pPr>
    </w:lvl>
  </w:abstractNum>
  <w:abstractNum w:abstractNumId="27" w15:restartNumberingAfterBreak="0">
    <w:nsid w:val="4E0B53CF"/>
    <w:multiLevelType w:val="hybridMultilevel"/>
    <w:tmpl w:val="CFB61216"/>
    <w:lvl w:ilvl="0" w:tplc="8EB0974E">
      <w:start w:val="1"/>
      <w:numFmt w:val="bullet"/>
      <w:lvlText w:val="o"/>
      <w:lvlJc w:val="left"/>
      <w:pPr>
        <w:ind w:left="1440" w:hanging="360"/>
      </w:pPr>
      <w:rPr>
        <w:rFonts w:ascii="Courier New" w:hAnsi="Courier New"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AF1832"/>
    <w:multiLevelType w:val="hybridMultilevel"/>
    <w:tmpl w:val="D75E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F111B"/>
    <w:multiLevelType w:val="hybridMultilevel"/>
    <w:tmpl w:val="FFFFFFFF"/>
    <w:lvl w:ilvl="0" w:tplc="E292BFA0">
      <w:start w:val="1"/>
      <w:numFmt w:val="decimal"/>
      <w:lvlText w:val="%1."/>
      <w:lvlJc w:val="left"/>
      <w:pPr>
        <w:ind w:left="720" w:hanging="360"/>
      </w:pPr>
    </w:lvl>
    <w:lvl w:ilvl="1" w:tplc="FB8A8B36">
      <w:start w:val="1"/>
      <w:numFmt w:val="decimal"/>
      <w:lvlText w:val="%2."/>
      <w:lvlJc w:val="left"/>
      <w:pPr>
        <w:ind w:left="1440" w:hanging="360"/>
      </w:pPr>
    </w:lvl>
    <w:lvl w:ilvl="2" w:tplc="13A2B334">
      <w:start w:val="1"/>
      <w:numFmt w:val="lowerRoman"/>
      <w:lvlText w:val="%3."/>
      <w:lvlJc w:val="right"/>
      <w:pPr>
        <w:ind w:left="2160" w:hanging="180"/>
      </w:pPr>
    </w:lvl>
    <w:lvl w:ilvl="3" w:tplc="52726754">
      <w:start w:val="1"/>
      <w:numFmt w:val="decimal"/>
      <w:lvlText w:val="%4."/>
      <w:lvlJc w:val="left"/>
      <w:pPr>
        <w:ind w:left="2880" w:hanging="360"/>
      </w:pPr>
    </w:lvl>
    <w:lvl w:ilvl="4" w:tplc="73FE5A9A">
      <w:start w:val="1"/>
      <w:numFmt w:val="lowerLetter"/>
      <w:lvlText w:val="%5."/>
      <w:lvlJc w:val="left"/>
      <w:pPr>
        <w:ind w:left="3600" w:hanging="360"/>
      </w:pPr>
    </w:lvl>
    <w:lvl w:ilvl="5" w:tplc="3FD8B106">
      <w:start w:val="1"/>
      <w:numFmt w:val="lowerRoman"/>
      <w:lvlText w:val="%6."/>
      <w:lvlJc w:val="right"/>
      <w:pPr>
        <w:ind w:left="4320" w:hanging="180"/>
      </w:pPr>
    </w:lvl>
    <w:lvl w:ilvl="6" w:tplc="D36096CA">
      <w:start w:val="1"/>
      <w:numFmt w:val="decimal"/>
      <w:lvlText w:val="%7."/>
      <w:lvlJc w:val="left"/>
      <w:pPr>
        <w:ind w:left="5040" w:hanging="360"/>
      </w:pPr>
    </w:lvl>
    <w:lvl w:ilvl="7" w:tplc="2ADA65D4">
      <w:start w:val="1"/>
      <w:numFmt w:val="lowerLetter"/>
      <w:lvlText w:val="%8."/>
      <w:lvlJc w:val="left"/>
      <w:pPr>
        <w:ind w:left="5760" w:hanging="360"/>
      </w:pPr>
    </w:lvl>
    <w:lvl w:ilvl="8" w:tplc="0FFC7950">
      <w:start w:val="1"/>
      <w:numFmt w:val="lowerRoman"/>
      <w:lvlText w:val="%9."/>
      <w:lvlJc w:val="right"/>
      <w:pPr>
        <w:ind w:left="6480" w:hanging="180"/>
      </w:pPr>
    </w:lvl>
  </w:abstractNum>
  <w:abstractNum w:abstractNumId="30" w15:restartNumberingAfterBreak="0">
    <w:nsid w:val="5C3A61A9"/>
    <w:multiLevelType w:val="hybridMultilevel"/>
    <w:tmpl w:val="A1B62BCC"/>
    <w:lvl w:ilvl="0" w:tplc="0809000F">
      <w:start w:val="1"/>
      <w:numFmt w:val="decimal"/>
      <w:lvlText w:val="%1."/>
      <w:lvlJc w:val="left"/>
      <w:pPr>
        <w:ind w:left="720" w:hanging="360"/>
      </w:pPr>
      <w:rPr>
        <w:rFonts w:eastAsia="Times New Roman"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3018B5"/>
    <w:multiLevelType w:val="multilevel"/>
    <w:tmpl w:val="74045E9C"/>
    <w:lvl w:ilvl="0">
      <w:start w:val="1"/>
      <w:numFmt w:val="decimal"/>
      <w:lvlText w:val="%1."/>
      <w:lvlJc w:val="left"/>
      <w:pPr>
        <w:ind w:left="400" w:hanging="400"/>
      </w:pPr>
      <w:rPr>
        <w:rFonts w:ascii="Arial" w:hAnsi="Arial" w:cs="Arial" w:hint="default"/>
        <w:b w:val="0"/>
        <w:bCs w:val="0"/>
        <w:sz w:val="28"/>
        <w:szCs w:val="28"/>
      </w:rPr>
    </w:lvl>
    <w:lvl w:ilvl="1">
      <w:start w:val="1"/>
      <w:numFmt w:val="decimal"/>
      <w:lvlText w:val="%1.%2."/>
      <w:lvlJc w:val="left"/>
      <w:pPr>
        <w:ind w:left="720" w:hanging="720"/>
      </w:pPr>
      <w:rPr>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43D558B"/>
    <w:multiLevelType w:val="hybridMultilevel"/>
    <w:tmpl w:val="0CA0CE8E"/>
    <w:lvl w:ilvl="0" w:tplc="D59E8F44">
      <w:start w:val="1"/>
      <w:numFmt w:val="bullet"/>
      <w:lvlText w:val="·"/>
      <w:lvlJc w:val="left"/>
      <w:pPr>
        <w:ind w:left="720" w:hanging="360"/>
      </w:pPr>
      <w:rPr>
        <w:rFonts w:ascii="Symbol" w:hAnsi="Symbol" w:hint="default"/>
      </w:rPr>
    </w:lvl>
    <w:lvl w:ilvl="1" w:tplc="8EB0974E">
      <w:start w:val="1"/>
      <w:numFmt w:val="bullet"/>
      <w:lvlText w:val="o"/>
      <w:lvlJc w:val="left"/>
      <w:pPr>
        <w:ind w:left="1440" w:hanging="360"/>
      </w:pPr>
      <w:rPr>
        <w:rFonts w:ascii="Courier New" w:hAnsi="Courier New" w:hint="default"/>
      </w:rPr>
    </w:lvl>
    <w:lvl w:ilvl="2" w:tplc="1C8A3856">
      <w:start w:val="1"/>
      <w:numFmt w:val="bullet"/>
      <w:lvlText w:val=""/>
      <w:lvlJc w:val="left"/>
      <w:pPr>
        <w:ind w:left="2160" w:hanging="360"/>
      </w:pPr>
      <w:rPr>
        <w:rFonts w:ascii="Wingdings" w:hAnsi="Wingdings" w:hint="default"/>
      </w:rPr>
    </w:lvl>
    <w:lvl w:ilvl="3" w:tplc="B4CC873A">
      <w:start w:val="1"/>
      <w:numFmt w:val="bullet"/>
      <w:lvlText w:val=""/>
      <w:lvlJc w:val="left"/>
      <w:pPr>
        <w:ind w:left="2880" w:hanging="360"/>
      </w:pPr>
      <w:rPr>
        <w:rFonts w:ascii="Symbol" w:hAnsi="Symbol" w:hint="default"/>
      </w:rPr>
    </w:lvl>
    <w:lvl w:ilvl="4" w:tplc="4466499C">
      <w:start w:val="1"/>
      <w:numFmt w:val="bullet"/>
      <w:lvlText w:val="o"/>
      <w:lvlJc w:val="left"/>
      <w:pPr>
        <w:ind w:left="3600" w:hanging="360"/>
      </w:pPr>
      <w:rPr>
        <w:rFonts w:ascii="Courier New" w:hAnsi="Courier New" w:hint="default"/>
      </w:rPr>
    </w:lvl>
    <w:lvl w:ilvl="5" w:tplc="42AC119C">
      <w:start w:val="1"/>
      <w:numFmt w:val="bullet"/>
      <w:lvlText w:val=""/>
      <w:lvlJc w:val="left"/>
      <w:pPr>
        <w:ind w:left="4320" w:hanging="360"/>
      </w:pPr>
      <w:rPr>
        <w:rFonts w:ascii="Wingdings" w:hAnsi="Wingdings" w:hint="default"/>
      </w:rPr>
    </w:lvl>
    <w:lvl w:ilvl="6" w:tplc="EBFCC164">
      <w:start w:val="1"/>
      <w:numFmt w:val="bullet"/>
      <w:lvlText w:val=""/>
      <w:lvlJc w:val="left"/>
      <w:pPr>
        <w:ind w:left="5040" w:hanging="360"/>
      </w:pPr>
      <w:rPr>
        <w:rFonts w:ascii="Symbol" w:hAnsi="Symbol" w:hint="default"/>
      </w:rPr>
    </w:lvl>
    <w:lvl w:ilvl="7" w:tplc="C700D7BC">
      <w:start w:val="1"/>
      <w:numFmt w:val="bullet"/>
      <w:lvlText w:val="o"/>
      <w:lvlJc w:val="left"/>
      <w:pPr>
        <w:ind w:left="5760" w:hanging="360"/>
      </w:pPr>
      <w:rPr>
        <w:rFonts w:ascii="Courier New" w:hAnsi="Courier New" w:hint="default"/>
      </w:rPr>
    </w:lvl>
    <w:lvl w:ilvl="8" w:tplc="07EC2368">
      <w:start w:val="1"/>
      <w:numFmt w:val="bullet"/>
      <w:lvlText w:val=""/>
      <w:lvlJc w:val="left"/>
      <w:pPr>
        <w:ind w:left="6480" w:hanging="360"/>
      </w:pPr>
      <w:rPr>
        <w:rFonts w:ascii="Wingdings" w:hAnsi="Wingdings" w:hint="default"/>
      </w:rPr>
    </w:lvl>
  </w:abstractNum>
  <w:abstractNum w:abstractNumId="33" w15:restartNumberingAfterBreak="0">
    <w:nsid w:val="66AD4575"/>
    <w:multiLevelType w:val="hybridMultilevel"/>
    <w:tmpl w:val="D4F8D2EE"/>
    <w:lvl w:ilvl="0" w:tplc="70060918">
      <w:start w:val="1"/>
      <w:numFmt w:val="bullet"/>
      <w:lvlText w:val="·"/>
      <w:lvlJc w:val="left"/>
      <w:pPr>
        <w:ind w:left="720" w:hanging="360"/>
      </w:pPr>
      <w:rPr>
        <w:rFonts w:ascii="Symbol" w:hAnsi="Symbol" w:hint="default"/>
      </w:rPr>
    </w:lvl>
    <w:lvl w:ilvl="1" w:tplc="175098A6">
      <w:start w:val="1"/>
      <w:numFmt w:val="bullet"/>
      <w:lvlText w:val="o"/>
      <w:lvlJc w:val="left"/>
      <w:pPr>
        <w:ind w:left="1440" w:hanging="360"/>
      </w:pPr>
      <w:rPr>
        <w:rFonts w:ascii="&quot;Courier New&quot;" w:hAnsi="&quot;Courier New&quot;" w:hint="default"/>
      </w:rPr>
    </w:lvl>
    <w:lvl w:ilvl="2" w:tplc="ACEC459C">
      <w:start w:val="1"/>
      <w:numFmt w:val="bullet"/>
      <w:lvlText w:val=""/>
      <w:lvlJc w:val="left"/>
      <w:pPr>
        <w:ind w:left="2160" w:hanging="360"/>
      </w:pPr>
      <w:rPr>
        <w:rFonts w:ascii="Wingdings" w:hAnsi="Wingdings" w:hint="default"/>
      </w:rPr>
    </w:lvl>
    <w:lvl w:ilvl="3" w:tplc="C948585C">
      <w:start w:val="1"/>
      <w:numFmt w:val="bullet"/>
      <w:lvlText w:val=""/>
      <w:lvlJc w:val="left"/>
      <w:pPr>
        <w:ind w:left="2880" w:hanging="360"/>
      </w:pPr>
      <w:rPr>
        <w:rFonts w:ascii="Symbol" w:hAnsi="Symbol" w:hint="default"/>
      </w:rPr>
    </w:lvl>
    <w:lvl w:ilvl="4" w:tplc="36C6BBB2">
      <w:start w:val="1"/>
      <w:numFmt w:val="bullet"/>
      <w:lvlText w:val="o"/>
      <w:lvlJc w:val="left"/>
      <w:pPr>
        <w:ind w:left="3600" w:hanging="360"/>
      </w:pPr>
      <w:rPr>
        <w:rFonts w:ascii="Courier New" w:hAnsi="Courier New" w:hint="default"/>
      </w:rPr>
    </w:lvl>
    <w:lvl w:ilvl="5" w:tplc="30B4DCEE">
      <w:start w:val="1"/>
      <w:numFmt w:val="bullet"/>
      <w:lvlText w:val=""/>
      <w:lvlJc w:val="left"/>
      <w:pPr>
        <w:ind w:left="4320" w:hanging="360"/>
      </w:pPr>
      <w:rPr>
        <w:rFonts w:ascii="Wingdings" w:hAnsi="Wingdings" w:hint="default"/>
      </w:rPr>
    </w:lvl>
    <w:lvl w:ilvl="6" w:tplc="311C6520">
      <w:start w:val="1"/>
      <w:numFmt w:val="bullet"/>
      <w:lvlText w:val=""/>
      <w:lvlJc w:val="left"/>
      <w:pPr>
        <w:ind w:left="5040" w:hanging="360"/>
      </w:pPr>
      <w:rPr>
        <w:rFonts w:ascii="Symbol" w:hAnsi="Symbol" w:hint="default"/>
      </w:rPr>
    </w:lvl>
    <w:lvl w:ilvl="7" w:tplc="0748D728">
      <w:start w:val="1"/>
      <w:numFmt w:val="bullet"/>
      <w:lvlText w:val="o"/>
      <w:lvlJc w:val="left"/>
      <w:pPr>
        <w:ind w:left="5760" w:hanging="360"/>
      </w:pPr>
      <w:rPr>
        <w:rFonts w:ascii="Courier New" w:hAnsi="Courier New" w:hint="default"/>
      </w:rPr>
    </w:lvl>
    <w:lvl w:ilvl="8" w:tplc="A2B81220">
      <w:start w:val="1"/>
      <w:numFmt w:val="bullet"/>
      <w:lvlText w:val=""/>
      <w:lvlJc w:val="left"/>
      <w:pPr>
        <w:ind w:left="6480" w:hanging="360"/>
      </w:pPr>
      <w:rPr>
        <w:rFonts w:ascii="Wingdings" w:hAnsi="Wingdings" w:hint="default"/>
      </w:rPr>
    </w:lvl>
  </w:abstractNum>
  <w:abstractNum w:abstractNumId="34" w15:restartNumberingAfterBreak="0">
    <w:nsid w:val="68695DE3"/>
    <w:multiLevelType w:val="hybridMultilevel"/>
    <w:tmpl w:val="4AD0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311A5C"/>
    <w:multiLevelType w:val="hybridMultilevel"/>
    <w:tmpl w:val="E3E4376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6A4528EC"/>
    <w:multiLevelType w:val="hybridMultilevel"/>
    <w:tmpl w:val="5C46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4C3F45"/>
    <w:multiLevelType w:val="hybridMultilevel"/>
    <w:tmpl w:val="DFA2EC02"/>
    <w:lvl w:ilvl="0" w:tplc="08090001">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AE0FF9"/>
    <w:multiLevelType w:val="hybridMultilevel"/>
    <w:tmpl w:val="4968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40343"/>
    <w:multiLevelType w:val="multilevel"/>
    <w:tmpl w:val="6A08421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0" w15:restartNumberingAfterBreak="0">
    <w:nsid w:val="787749D6"/>
    <w:multiLevelType w:val="hybridMultilevel"/>
    <w:tmpl w:val="D13C92D0"/>
    <w:lvl w:ilvl="0" w:tplc="A2DA29B0">
      <w:numFmt w:val="bullet"/>
      <w:lvlText w:val="-"/>
      <w:lvlJc w:val="left"/>
      <w:pPr>
        <w:ind w:left="720" w:hanging="360"/>
      </w:pPr>
      <w:rPr>
        <w:rFonts w:ascii="Calibri" w:eastAsiaTheme="minorHAns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8A52D12"/>
    <w:multiLevelType w:val="hybridMultilevel"/>
    <w:tmpl w:val="685C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num w:numId="1">
    <w:abstractNumId w:val="3"/>
  </w:num>
  <w:num w:numId="2">
    <w:abstractNumId w:val="2"/>
  </w:num>
  <w:num w:numId="3">
    <w:abstractNumId w:val="1"/>
  </w:num>
  <w:num w:numId="4">
    <w:abstractNumId w:val="0"/>
  </w:num>
  <w:num w:numId="5">
    <w:abstractNumId w:val="14"/>
  </w:num>
  <w:num w:numId="6">
    <w:abstractNumId w:val="13"/>
  </w:num>
  <w:num w:numId="7">
    <w:abstractNumId w:val="42"/>
  </w:num>
  <w:num w:numId="8">
    <w:abstractNumId w:val="41"/>
  </w:num>
  <w:num w:numId="9">
    <w:abstractNumId w:val="39"/>
  </w:num>
  <w:num w:numId="10">
    <w:abstractNumId w:val="6"/>
  </w:num>
  <w:num w:numId="11">
    <w:abstractNumId w:val="31"/>
  </w:num>
  <w:num w:numId="12">
    <w:abstractNumId w:val="24"/>
  </w:num>
  <w:num w:numId="13">
    <w:abstractNumId w:val="12"/>
  </w:num>
  <w:num w:numId="14">
    <w:abstractNumId w:val="8"/>
  </w:num>
  <w:num w:numId="15">
    <w:abstractNumId w:val="32"/>
  </w:num>
  <w:num w:numId="16">
    <w:abstractNumId w:val="15"/>
  </w:num>
  <w:num w:numId="17">
    <w:abstractNumId w:val="17"/>
  </w:num>
  <w:num w:numId="18">
    <w:abstractNumId w:val="25"/>
  </w:num>
  <w:num w:numId="19">
    <w:abstractNumId w:val="10"/>
  </w:num>
  <w:num w:numId="20">
    <w:abstractNumId w:val="23"/>
  </w:num>
  <w:num w:numId="21">
    <w:abstractNumId w:val="21"/>
  </w:num>
  <w:num w:numId="22">
    <w:abstractNumId w:val="5"/>
  </w:num>
  <w:num w:numId="23">
    <w:abstractNumId w:val="40"/>
  </w:num>
  <w:num w:numId="24">
    <w:abstractNumId w:val="35"/>
  </w:num>
  <w:num w:numId="25">
    <w:abstractNumId w:val="22"/>
  </w:num>
  <w:num w:numId="26">
    <w:abstractNumId w:val="9"/>
  </w:num>
  <w:num w:numId="27">
    <w:abstractNumId w:val="19"/>
  </w:num>
  <w:num w:numId="28">
    <w:abstractNumId w:val="33"/>
  </w:num>
  <w:num w:numId="29">
    <w:abstractNumId w:val="34"/>
  </w:num>
  <w:num w:numId="30">
    <w:abstractNumId w:val="18"/>
  </w:num>
  <w:num w:numId="31">
    <w:abstractNumId w:val="16"/>
  </w:num>
  <w:num w:numId="32">
    <w:abstractNumId w:val="38"/>
  </w:num>
  <w:num w:numId="33">
    <w:abstractNumId w:val="28"/>
  </w:num>
  <w:num w:numId="34">
    <w:abstractNumId w:val="30"/>
  </w:num>
  <w:num w:numId="35">
    <w:abstractNumId w:val="36"/>
  </w:num>
  <w:num w:numId="36">
    <w:abstractNumId w:val="27"/>
  </w:num>
  <w:num w:numId="37">
    <w:abstractNumId w:val="11"/>
  </w:num>
  <w:num w:numId="38">
    <w:abstractNumId w:val="26"/>
  </w:num>
  <w:num w:numId="39">
    <w:abstractNumId w:val="4"/>
  </w:num>
  <w:num w:numId="40">
    <w:abstractNumId w:val="29"/>
  </w:num>
  <w:num w:numId="41">
    <w:abstractNumId w:val="37"/>
  </w:num>
  <w:num w:numId="42">
    <w:abstractNumId w:val="7"/>
  </w:num>
  <w:num w:numId="4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9B"/>
    <w:rsid w:val="000014D8"/>
    <w:rsid w:val="00001FF2"/>
    <w:rsid w:val="00002A9F"/>
    <w:rsid w:val="00002EB5"/>
    <w:rsid w:val="00003512"/>
    <w:rsid w:val="00003611"/>
    <w:rsid w:val="0000581A"/>
    <w:rsid w:val="00005939"/>
    <w:rsid w:val="00007170"/>
    <w:rsid w:val="00007B76"/>
    <w:rsid w:val="00010C0A"/>
    <w:rsid w:val="000111E9"/>
    <w:rsid w:val="00012BDC"/>
    <w:rsid w:val="0001763E"/>
    <w:rsid w:val="00017852"/>
    <w:rsid w:val="0001798C"/>
    <w:rsid w:val="0002271A"/>
    <w:rsid w:val="00022888"/>
    <w:rsid w:val="000236B3"/>
    <w:rsid w:val="00024C6D"/>
    <w:rsid w:val="000255D4"/>
    <w:rsid w:val="00025BB6"/>
    <w:rsid w:val="0002707F"/>
    <w:rsid w:val="00027B64"/>
    <w:rsid w:val="00027C0B"/>
    <w:rsid w:val="000305E0"/>
    <w:rsid w:val="000372C7"/>
    <w:rsid w:val="000377F7"/>
    <w:rsid w:val="000379DD"/>
    <w:rsid w:val="00037E70"/>
    <w:rsid w:val="00040507"/>
    <w:rsid w:val="0004085B"/>
    <w:rsid w:val="000423E1"/>
    <w:rsid w:val="00045509"/>
    <w:rsid w:val="00045E86"/>
    <w:rsid w:val="00046B95"/>
    <w:rsid w:val="0004795D"/>
    <w:rsid w:val="0004E85D"/>
    <w:rsid w:val="00051959"/>
    <w:rsid w:val="00052263"/>
    <w:rsid w:val="000528A8"/>
    <w:rsid w:val="00055711"/>
    <w:rsid w:val="0005606F"/>
    <w:rsid w:val="0006037C"/>
    <w:rsid w:val="00061F45"/>
    <w:rsid w:val="00062136"/>
    <w:rsid w:val="00062841"/>
    <w:rsid w:val="000644C7"/>
    <w:rsid w:val="00070E98"/>
    <w:rsid w:val="00071627"/>
    <w:rsid w:val="00071986"/>
    <w:rsid w:val="00071BD8"/>
    <w:rsid w:val="00072545"/>
    <w:rsid w:val="00072AC4"/>
    <w:rsid w:val="000737E2"/>
    <w:rsid w:val="00073B98"/>
    <w:rsid w:val="0007568E"/>
    <w:rsid w:val="000762A7"/>
    <w:rsid w:val="00077503"/>
    <w:rsid w:val="00082E25"/>
    <w:rsid w:val="00082E8E"/>
    <w:rsid w:val="000831DD"/>
    <w:rsid w:val="00083504"/>
    <w:rsid w:val="0008543D"/>
    <w:rsid w:val="000858A3"/>
    <w:rsid w:val="00087EA5"/>
    <w:rsid w:val="0009251B"/>
    <w:rsid w:val="00092967"/>
    <w:rsid w:val="00092A82"/>
    <w:rsid w:val="00093940"/>
    <w:rsid w:val="0009408B"/>
    <w:rsid w:val="000946D2"/>
    <w:rsid w:val="00097CCE"/>
    <w:rsid w:val="000A0699"/>
    <w:rsid w:val="000A1E22"/>
    <w:rsid w:val="000A1F66"/>
    <w:rsid w:val="000A3808"/>
    <w:rsid w:val="000A3915"/>
    <w:rsid w:val="000A3C49"/>
    <w:rsid w:val="000A3FF8"/>
    <w:rsid w:val="000A41B4"/>
    <w:rsid w:val="000A4306"/>
    <w:rsid w:val="000A5900"/>
    <w:rsid w:val="000A6B75"/>
    <w:rsid w:val="000A6C1A"/>
    <w:rsid w:val="000A7214"/>
    <w:rsid w:val="000A7ECB"/>
    <w:rsid w:val="000B056D"/>
    <w:rsid w:val="000B0EC9"/>
    <w:rsid w:val="000B2E59"/>
    <w:rsid w:val="000B4DF4"/>
    <w:rsid w:val="000B57C8"/>
    <w:rsid w:val="000B5A1E"/>
    <w:rsid w:val="000B6817"/>
    <w:rsid w:val="000B6ABE"/>
    <w:rsid w:val="000B6FD7"/>
    <w:rsid w:val="000B70DA"/>
    <w:rsid w:val="000C3385"/>
    <w:rsid w:val="000C377B"/>
    <w:rsid w:val="000C4F88"/>
    <w:rsid w:val="000C5093"/>
    <w:rsid w:val="000C535E"/>
    <w:rsid w:val="000D1752"/>
    <w:rsid w:val="000D1801"/>
    <w:rsid w:val="000D2271"/>
    <w:rsid w:val="000D37B1"/>
    <w:rsid w:val="000D39D9"/>
    <w:rsid w:val="000D3FAC"/>
    <w:rsid w:val="000D4254"/>
    <w:rsid w:val="000D5F68"/>
    <w:rsid w:val="000D5F77"/>
    <w:rsid w:val="000D7A98"/>
    <w:rsid w:val="000E028C"/>
    <w:rsid w:val="000E3361"/>
    <w:rsid w:val="000E35C1"/>
    <w:rsid w:val="000E42F0"/>
    <w:rsid w:val="000E4644"/>
    <w:rsid w:val="000F02ED"/>
    <w:rsid w:val="000F13EC"/>
    <w:rsid w:val="000F34D0"/>
    <w:rsid w:val="000F4564"/>
    <w:rsid w:val="000F6F07"/>
    <w:rsid w:val="00100494"/>
    <w:rsid w:val="0010057E"/>
    <w:rsid w:val="00101726"/>
    <w:rsid w:val="001021E6"/>
    <w:rsid w:val="00102C91"/>
    <w:rsid w:val="00104591"/>
    <w:rsid w:val="00104A91"/>
    <w:rsid w:val="00104D90"/>
    <w:rsid w:val="0010563D"/>
    <w:rsid w:val="00105864"/>
    <w:rsid w:val="001061D9"/>
    <w:rsid w:val="00106459"/>
    <w:rsid w:val="00107277"/>
    <w:rsid w:val="0011448D"/>
    <w:rsid w:val="0011595D"/>
    <w:rsid w:val="00116D52"/>
    <w:rsid w:val="00117AFC"/>
    <w:rsid w:val="00121A80"/>
    <w:rsid w:val="00122353"/>
    <w:rsid w:val="00122652"/>
    <w:rsid w:val="00123C54"/>
    <w:rsid w:val="00124AA0"/>
    <w:rsid w:val="0012543B"/>
    <w:rsid w:val="00125AF3"/>
    <w:rsid w:val="0012655B"/>
    <w:rsid w:val="00126DDD"/>
    <w:rsid w:val="001277A7"/>
    <w:rsid w:val="0013001E"/>
    <w:rsid w:val="0013278D"/>
    <w:rsid w:val="0013394D"/>
    <w:rsid w:val="0013654B"/>
    <w:rsid w:val="001367D7"/>
    <w:rsid w:val="001377AC"/>
    <w:rsid w:val="001413DC"/>
    <w:rsid w:val="0014155F"/>
    <w:rsid w:val="00141B58"/>
    <w:rsid w:val="00142B35"/>
    <w:rsid w:val="00144FAC"/>
    <w:rsid w:val="0014697A"/>
    <w:rsid w:val="0014750E"/>
    <w:rsid w:val="0014766F"/>
    <w:rsid w:val="00151C26"/>
    <w:rsid w:val="001525AB"/>
    <w:rsid w:val="00152C86"/>
    <w:rsid w:val="00153E88"/>
    <w:rsid w:val="00154563"/>
    <w:rsid w:val="00154E78"/>
    <w:rsid w:val="00154F8A"/>
    <w:rsid w:val="00156063"/>
    <w:rsid w:val="00156496"/>
    <w:rsid w:val="00156534"/>
    <w:rsid w:val="00156BA9"/>
    <w:rsid w:val="00157B05"/>
    <w:rsid w:val="001604C9"/>
    <w:rsid w:val="00161277"/>
    <w:rsid w:val="0016354C"/>
    <w:rsid w:val="00164FE5"/>
    <w:rsid w:val="00165AF1"/>
    <w:rsid w:val="00166E98"/>
    <w:rsid w:val="00166EF9"/>
    <w:rsid w:val="00171CC1"/>
    <w:rsid w:val="0017519A"/>
    <w:rsid w:val="0017745D"/>
    <w:rsid w:val="00177775"/>
    <w:rsid w:val="00180D72"/>
    <w:rsid w:val="0018208E"/>
    <w:rsid w:val="001832A8"/>
    <w:rsid w:val="00184BE4"/>
    <w:rsid w:val="0018504A"/>
    <w:rsid w:val="00185A80"/>
    <w:rsid w:val="00185E7C"/>
    <w:rsid w:val="001860E4"/>
    <w:rsid w:val="00187DA3"/>
    <w:rsid w:val="00187DB5"/>
    <w:rsid w:val="001907EF"/>
    <w:rsid w:val="0019217F"/>
    <w:rsid w:val="001924A3"/>
    <w:rsid w:val="00193D2F"/>
    <w:rsid w:val="00194318"/>
    <w:rsid w:val="00196007"/>
    <w:rsid w:val="00196815"/>
    <w:rsid w:val="00196D1F"/>
    <w:rsid w:val="001979F1"/>
    <w:rsid w:val="001A08D1"/>
    <w:rsid w:val="001A100B"/>
    <w:rsid w:val="001A283C"/>
    <w:rsid w:val="001A2BBA"/>
    <w:rsid w:val="001A499A"/>
    <w:rsid w:val="001A4E90"/>
    <w:rsid w:val="001A4EC4"/>
    <w:rsid w:val="001A5B20"/>
    <w:rsid w:val="001A643D"/>
    <w:rsid w:val="001A684E"/>
    <w:rsid w:val="001B00E1"/>
    <w:rsid w:val="001B02EA"/>
    <w:rsid w:val="001B0D87"/>
    <w:rsid w:val="001B10C6"/>
    <w:rsid w:val="001B1AEA"/>
    <w:rsid w:val="001B1D89"/>
    <w:rsid w:val="001B2F42"/>
    <w:rsid w:val="001B396B"/>
    <w:rsid w:val="001B3C27"/>
    <w:rsid w:val="001B763C"/>
    <w:rsid w:val="001C0528"/>
    <w:rsid w:val="001C06BB"/>
    <w:rsid w:val="001C0885"/>
    <w:rsid w:val="001C0AC6"/>
    <w:rsid w:val="001C0C4E"/>
    <w:rsid w:val="001C1097"/>
    <w:rsid w:val="001C14DC"/>
    <w:rsid w:val="001C1A52"/>
    <w:rsid w:val="001C2885"/>
    <w:rsid w:val="001C2F16"/>
    <w:rsid w:val="001C37AA"/>
    <w:rsid w:val="001C459B"/>
    <w:rsid w:val="001C56EA"/>
    <w:rsid w:val="001C58D0"/>
    <w:rsid w:val="001C5C52"/>
    <w:rsid w:val="001C60E3"/>
    <w:rsid w:val="001C62ED"/>
    <w:rsid w:val="001C6D4C"/>
    <w:rsid w:val="001C78C1"/>
    <w:rsid w:val="001D0171"/>
    <w:rsid w:val="001D1045"/>
    <w:rsid w:val="001D17DA"/>
    <w:rsid w:val="001D1A4F"/>
    <w:rsid w:val="001D1D1B"/>
    <w:rsid w:val="001D2B55"/>
    <w:rsid w:val="001D4954"/>
    <w:rsid w:val="001D5DFA"/>
    <w:rsid w:val="001E10CD"/>
    <w:rsid w:val="001E1F60"/>
    <w:rsid w:val="001E2B77"/>
    <w:rsid w:val="001E35B2"/>
    <w:rsid w:val="001E4DF0"/>
    <w:rsid w:val="001E562A"/>
    <w:rsid w:val="001E73F1"/>
    <w:rsid w:val="001F0098"/>
    <w:rsid w:val="001F0E83"/>
    <w:rsid w:val="001F3A19"/>
    <w:rsid w:val="001F577F"/>
    <w:rsid w:val="001F62FA"/>
    <w:rsid w:val="001F6FDA"/>
    <w:rsid w:val="001F7637"/>
    <w:rsid w:val="001F7E10"/>
    <w:rsid w:val="002033B9"/>
    <w:rsid w:val="00204062"/>
    <w:rsid w:val="002042B1"/>
    <w:rsid w:val="00204300"/>
    <w:rsid w:val="00205AE7"/>
    <w:rsid w:val="00206657"/>
    <w:rsid w:val="002069DF"/>
    <w:rsid w:val="0020777A"/>
    <w:rsid w:val="002106FC"/>
    <w:rsid w:val="002116C1"/>
    <w:rsid w:val="002121A4"/>
    <w:rsid w:val="002129EE"/>
    <w:rsid w:val="00212BBF"/>
    <w:rsid w:val="0021470B"/>
    <w:rsid w:val="00214D2D"/>
    <w:rsid w:val="00216AD7"/>
    <w:rsid w:val="00220546"/>
    <w:rsid w:val="002214CC"/>
    <w:rsid w:val="002231ED"/>
    <w:rsid w:val="0022434B"/>
    <w:rsid w:val="00225963"/>
    <w:rsid w:val="002277EE"/>
    <w:rsid w:val="00230DDA"/>
    <w:rsid w:val="00231E81"/>
    <w:rsid w:val="00231EB9"/>
    <w:rsid w:val="00232A38"/>
    <w:rsid w:val="00233ACD"/>
    <w:rsid w:val="00235CDB"/>
    <w:rsid w:val="0023795F"/>
    <w:rsid w:val="002438F1"/>
    <w:rsid w:val="002455FA"/>
    <w:rsid w:val="00246123"/>
    <w:rsid w:val="00247AA7"/>
    <w:rsid w:val="0025033B"/>
    <w:rsid w:val="00250801"/>
    <w:rsid w:val="00250BD5"/>
    <w:rsid w:val="00253240"/>
    <w:rsid w:val="0025458B"/>
    <w:rsid w:val="0025471E"/>
    <w:rsid w:val="00257222"/>
    <w:rsid w:val="002579B0"/>
    <w:rsid w:val="00257E8B"/>
    <w:rsid w:val="002610FE"/>
    <w:rsid w:val="00261773"/>
    <w:rsid w:val="002620F5"/>
    <w:rsid w:val="00263A95"/>
    <w:rsid w:val="00263E68"/>
    <w:rsid w:val="002671AD"/>
    <w:rsid w:val="0026778F"/>
    <w:rsid w:val="002709B7"/>
    <w:rsid w:val="00270D72"/>
    <w:rsid w:val="0027247C"/>
    <w:rsid w:val="00274051"/>
    <w:rsid w:val="0027463C"/>
    <w:rsid w:val="002761CC"/>
    <w:rsid w:val="00276966"/>
    <w:rsid w:val="002773BC"/>
    <w:rsid w:val="0027F979"/>
    <w:rsid w:val="00280480"/>
    <w:rsid w:val="002812CE"/>
    <w:rsid w:val="00281DAE"/>
    <w:rsid w:val="002829B6"/>
    <w:rsid w:val="00284757"/>
    <w:rsid w:val="00287D93"/>
    <w:rsid w:val="00290B90"/>
    <w:rsid w:val="00291183"/>
    <w:rsid w:val="00291C4A"/>
    <w:rsid w:val="00292226"/>
    <w:rsid w:val="002923D9"/>
    <w:rsid w:val="00292776"/>
    <w:rsid w:val="00293E1C"/>
    <w:rsid w:val="0029582E"/>
    <w:rsid w:val="00296DEF"/>
    <w:rsid w:val="00296E49"/>
    <w:rsid w:val="002A0128"/>
    <w:rsid w:val="002A1767"/>
    <w:rsid w:val="002A3FCA"/>
    <w:rsid w:val="002A5327"/>
    <w:rsid w:val="002A5BF5"/>
    <w:rsid w:val="002A5D94"/>
    <w:rsid w:val="002A7180"/>
    <w:rsid w:val="002A72D2"/>
    <w:rsid w:val="002B1EF4"/>
    <w:rsid w:val="002B6F22"/>
    <w:rsid w:val="002B7638"/>
    <w:rsid w:val="002C05D4"/>
    <w:rsid w:val="002C06CC"/>
    <w:rsid w:val="002C0EB2"/>
    <w:rsid w:val="002C16D5"/>
    <w:rsid w:val="002C22C1"/>
    <w:rsid w:val="002C2A27"/>
    <w:rsid w:val="002C3CB4"/>
    <w:rsid w:val="002C5D2D"/>
    <w:rsid w:val="002C5EE4"/>
    <w:rsid w:val="002C7F16"/>
    <w:rsid w:val="002D08AA"/>
    <w:rsid w:val="002D12CC"/>
    <w:rsid w:val="002D2198"/>
    <w:rsid w:val="002D3588"/>
    <w:rsid w:val="002D4B87"/>
    <w:rsid w:val="002E087E"/>
    <w:rsid w:val="002E0A8E"/>
    <w:rsid w:val="002E0DBF"/>
    <w:rsid w:val="002E33F1"/>
    <w:rsid w:val="002E3A70"/>
    <w:rsid w:val="002E52BD"/>
    <w:rsid w:val="002E5775"/>
    <w:rsid w:val="002E5B0C"/>
    <w:rsid w:val="002E5CBB"/>
    <w:rsid w:val="002E621A"/>
    <w:rsid w:val="002E71D4"/>
    <w:rsid w:val="002F1A72"/>
    <w:rsid w:val="002F6DF4"/>
    <w:rsid w:val="002F7C89"/>
    <w:rsid w:val="002F7EBB"/>
    <w:rsid w:val="00301894"/>
    <w:rsid w:val="00301CBA"/>
    <w:rsid w:val="0030237A"/>
    <w:rsid w:val="003038EE"/>
    <w:rsid w:val="00303F3E"/>
    <w:rsid w:val="003049FC"/>
    <w:rsid w:val="0030646C"/>
    <w:rsid w:val="003071C9"/>
    <w:rsid w:val="003079EC"/>
    <w:rsid w:val="0031036C"/>
    <w:rsid w:val="00311AB3"/>
    <w:rsid w:val="00313243"/>
    <w:rsid w:val="00314415"/>
    <w:rsid w:val="00314840"/>
    <w:rsid w:val="0031536D"/>
    <w:rsid w:val="003153CE"/>
    <w:rsid w:val="00315AF7"/>
    <w:rsid w:val="00321026"/>
    <w:rsid w:val="00322409"/>
    <w:rsid w:val="0032411C"/>
    <w:rsid w:val="003243E9"/>
    <w:rsid w:val="00326187"/>
    <w:rsid w:val="00326416"/>
    <w:rsid w:val="00326638"/>
    <w:rsid w:val="003275CB"/>
    <w:rsid w:val="003275E5"/>
    <w:rsid w:val="00327892"/>
    <w:rsid w:val="00330727"/>
    <w:rsid w:val="00331479"/>
    <w:rsid w:val="0033215E"/>
    <w:rsid w:val="00333112"/>
    <w:rsid w:val="0033395C"/>
    <w:rsid w:val="00334390"/>
    <w:rsid w:val="003345F0"/>
    <w:rsid w:val="00334EB6"/>
    <w:rsid w:val="00335E45"/>
    <w:rsid w:val="003367F2"/>
    <w:rsid w:val="00336FF6"/>
    <w:rsid w:val="0033789A"/>
    <w:rsid w:val="003379C1"/>
    <w:rsid w:val="0034290B"/>
    <w:rsid w:val="00344949"/>
    <w:rsid w:val="00345B97"/>
    <w:rsid w:val="003508CA"/>
    <w:rsid w:val="00354A7C"/>
    <w:rsid w:val="0035756E"/>
    <w:rsid w:val="003577F4"/>
    <w:rsid w:val="003602F3"/>
    <w:rsid w:val="00360A9B"/>
    <w:rsid w:val="00361C7F"/>
    <w:rsid w:val="003628D3"/>
    <w:rsid w:val="00363D9C"/>
    <w:rsid w:val="00363F3D"/>
    <w:rsid w:val="003662A2"/>
    <w:rsid w:val="003667A7"/>
    <w:rsid w:val="00366B21"/>
    <w:rsid w:val="00367114"/>
    <w:rsid w:val="00367220"/>
    <w:rsid w:val="00370120"/>
    <w:rsid w:val="00370BAE"/>
    <w:rsid w:val="003716E6"/>
    <w:rsid w:val="00371AE1"/>
    <w:rsid w:val="00372D33"/>
    <w:rsid w:val="00374739"/>
    <w:rsid w:val="00374755"/>
    <w:rsid w:val="003754CD"/>
    <w:rsid w:val="00377210"/>
    <w:rsid w:val="003772C4"/>
    <w:rsid w:val="00380F0C"/>
    <w:rsid w:val="003816D1"/>
    <w:rsid w:val="00382F74"/>
    <w:rsid w:val="003834DB"/>
    <w:rsid w:val="003840A2"/>
    <w:rsid w:val="003853CF"/>
    <w:rsid w:val="00385DC5"/>
    <w:rsid w:val="003914BC"/>
    <w:rsid w:val="00393AD4"/>
    <w:rsid w:val="00394143"/>
    <w:rsid w:val="003946F9"/>
    <w:rsid w:val="00395561"/>
    <w:rsid w:val="003A09A8"/>
    <w:rsid w:val="003A1223"/>
    <w:rsid w:val="003A13BC"/>
    <w:rsid w:val="003A1682"/>
    <w:rsid w:val="003A3679"/>
    <w:rsid w:val="003A3DB9"/>
    <w:rsid w:val="003A3F58"/>
    <w:rsid w:val="003A4AA0"/>
    <w:rsid w:val="003A4B42"/>
    <w:rsid w:val="003A7414"/>
    <w:rsid w:val="003A775A"/>
    <w:rsid w:val="003B04EA"/>
    <w:rsid w:val="003B0D2E"/>
    <w:rsid w:val="003B17AA"/>
    <w:rsid w:val="003B23F4"/>
    <w:rsid w:val="003B2E7D"/>
    <w:rsid w:val="003B3390"/>
    <w:rsid w:val="003B391D"/>
    <w:rsid w:val="003B3DB5"/>
    <w:rsid w:val="003B5586"/>
    <w:rsid w:val="003B5C87"/>
    <w:rsid w:val="003B5F21"/>
    <w:rsid w:val="003B6BF8"/>
    <w:rsid w:val="003B7747"/>
    <w:rsid w:val="003B77A8"/>
    <w:rsid w:val="003C035A"/>
    <w:rsid w:val="003C0B8D"/>
    <w:rsid w:val="003C2195"/>
    <w:rsid w:val="003C36C6"/>
    <w:rsid w:val="003C569C"/>
    <w:rsid w:val="003C6BC3"/>
    <w:rsid w:val="003C6D9E"/>
    <w:rsid w:val="003C7A63"/>
    <w:rsid w:val="003C7FC9"/>
    <w:rsid w:val="003D00E8"/>
    <w:rsid w:val="003D3CC0"/>
    <w:rsid w:val="003D5298"/>
    <w:rsid w:val="003D641D"/>
    <w:rsid w:val="003D7A16"/>
    <w:rsid w:val="003D7DD7"/>
    <w:rsid w:val="003E1E1E"/>
    <w:rsid w:val="003E2F57"/>
    <w:rsid w:val="003E40F0"/>
    <w:rsid w:val="003E4767"/>
    <w:rsid w:val="003E49C2"/>
    <w:rsid w:val="003E6CC8"/>
    <w:rsid w:val="003E77ED"/>
    <w:rsid w:val="003E78BE"/>
    <w:rsid w:val="003F027B"/>
    <w:rsid w:val="003F28AB"/>
    <w:rsid w:val="003F3947"/>
    <w:rsid w:val="003F539D"/>
    <w:rsid w:val="003F5BCF"/>
    <w:rsid w:val="003F6B44"/>
    <w:rsid w:val="003F766C"/>
    <w:rsid w:val="00400739"/>
    <w:rsid w:val="00402CD7"/>
    <w:rsid w:val="00403FC9"/>
    <w:rsid w:val="00404034"/>
    <w:rsid w:val="0040422F"/>
    <w:rsid w:val="00405912"/>
    <w:rsid w:val="0040737B"/>
    <w:rsid w:val="00407E2C"/>
    <w:rsid w:val="0041272A"/>
    <w:rsid w:val="004145DD"/>
    <w:rsid w:val="00414731"/>
    <w:rsid w:val="00416532"/>
    <w:rsid w:val="00420FAD"/>
    <w:rsid w:val="004223B6"/>
    <w:rsid w:val="004228FD"/>
    <w:rsid w:val="004230B7"/>
    <w:rsid w:val="00423E2C"/>
    <w:rsid w:val="004245EF"/>
    <w:rsid w:val="00424CCD"/>
    <w:rsid w:val="00424DA3"/>
    <w:rsid w:val="00425B79"/>
    <w:rsid w:val="0042770C"/>
    <w:rsid w:val="004312AB"/>
    <w:rsid w:val="00432588"/>
    <w:rsid w:val="00433619"/>
    <w:rsid w:val="00433DB9"/>
    <w:rsid w:val="004341EE"/>
    <w:rsid w:val="004351B4"/>
    <w:rsid w:val="00435E83"/>
    <w:rsid w:val="0043666B"/>
    <w:rsid w:val="0044155B"/>
    <w:rsid w:val="00441DCB"/>
    <w:rsid w:val="00442FDE"/>
    <w:rsid w:val="00443CA3"/>
    <w:rsid w:val="00445B6C"/>
    <w:rsid w:val="00447C1D"/>
    <w:rsid w:val="00450CF1"/>
    <w:rsid w:val="00450ECC"/>
    <w:rsid w:val="00451AE4"/>
    <w:rsid w:val="00451D88"/>
    <w:rsid w:val="00452D59"/>
    <w:rsid w:val="004537A9"/>
    <w:rsid w:val="00454738"/>
    <w:rsid w:val="0045531D"/>
    <w:rsid w:val="00455B83"/>
    <w:rsid w:val="004565EC"/>
    <w:rsid w:val="0046127F"/>
    <w:rsid w:val="00461DBE"/>
    <w:rsid w:val="00462AFE"/>
    <w:rsid w:val="00462D22"/>
    <w:rsid w:val="00465280"/>
    <w:rsid w:val="00465EF4"/>
    <w:rsid w:val="00466D95"/>
    <w:rsid w:val="0047072E"/>
    <w:rsid w:val="00470DC2"/>
    <w:rsid w:val="00471624"/>
    <w:rsid w:val="004716E6"/>
    <w:rsid w:val="00471EC9"/>
    <w:rsid w:val="00472B2E"/>
    <w:rsid w:val="00473160"/>
    <w:rsid w:val="00473953"/>
    <w:rsid w:val="004764AB"/>
    <w:rsid w:val="004764F8"/>
    <w:rsid w:val="0047686C"/>
    <w:rsid w:val="00476BF1"/>
    <w:rsid w:val="0048012F"/>
    <w:rsid w:val="004802AE"/>
    <w:rsid w:val="004805DF"/>
    <w:rsid w:val="0048097D"/>
    <w:rsid w:val="00483102"/>
    <w:rsid w:val="004835B0"/>
    <w:rsid w:val="00483832"/>
    <w:rsid w:val="0048535C"/>
    <w:rsid w:val="00490798"/>
    <w:rsid w:val="00490E3F"/>
    <w:rsid w:val="00491037"/>
    <w:rsid w:val="00492CB0"/>
    <w:rsid w:val="00493878"/>
    <w:rsid w:val="00493F8C"/>
    <w:rsid w:val="004948AC"/>
    <w:rsid w:val="004949B1"/>
    <w:rsid w:val="004956DB"/>
    <w:rsid w:val="0049712C"/>
    <w:rsid w:val="0049747D"/>
    <w:rsid w:val="004A0E1F"/>
    <w:rsid w:val="004A0E85"/>
    <w:rsid w:val="004A0F17"/>
    <w:rsid w:val="004A1ECB"/>
    <w:rsid w:val="004A2CD8"/>
    <w:rsid w:val="004A3FC7"/>
    <w:rsid w:val="004A4C0A"/>
    <w:rsid w:val="004A5B58"/>
    <w:rsid w:val="004A6599"/>
    <w:rsid w:val="004A7725"/>
    <w:rsid w:val="004B1D4D"/>
    <w:rsid w:val="004B34FA"/>
    <w:rsid w:val="004B5E01"/>
    <w:rsid w:val="004B6377"/>
    <w:rsid w:val="004B7324"/>
    <w:rsid w:val="004B7436"/>
    <w:rsid w:val="004B7C8C"/>
    <w:rsid w:val="004C35F8"/>
    <w:rsid w:val="004C427E"/>
    <w:rsid w:val="004C4E3B"/>
    <w:rsid w:val="004C6A99"/>
    <w:rsid w:val="004D07B3"/>
    <w:rsid w:val="004D201E"/>
    <w:rsid w:val="004D2203"/>
    <w:rsid w:val="004D256E"/>
    <w:rsid w:val="004D28E9"/>
    <w:rsid w:val="004D30A4"/>
    <w:rsid w:val="004D5305"/>
    <w:rsid w:val="004D7570"/>
    <w:rsid w:val="004E1C0E"/>
    <w:rsid w:val="004E1E84"/>
    <w:rsid w:val="004E3B64"/>
    <w:rsid w:val="004E43DD"/>
    <w:rsid w:val="004E5439"/>
    <w:rsid w:val="004E5F38"/>
    <w:rsid w:val="004E72CC"/>
    <w:rsid w:val="004F3E78"/>
    <w:rsid w:val="004F4F4C"/>
    <w:rsid w:val="004F5F5E"/>
    <w:rsid w:val="004F7852"/>
    <w:rsid w:val="00500406"/>
    <w:rsid w:val="00501AA9"/>
    <w:rsid w:val="0050347F"/>
    <w:rsid w:val="00504BCC"/>
    <w:rsid w:val="00504C57"/>
    <w:rsid w:val="0050718F"/>
    <w:rsid w:val="005076C6"/>
    <w:rsid w:val="0050773F"/>
    <w:rsid w:val="005109B3"/>
    <w:rsid w:val="00511CEF"/>
    <w:rsid w:val="00512228"/>
    <w:rsid w:val="00512340"/>
    <w:rsid w:val="005126AA"/>
    <w:rsid w:val="005146E4"/>
    <w:rsid w:val="00515807"/>
    <w:rsid w:val="005165C4"/>
    <w:rsid w:val="005173B7"/>
    <w:rsid w:val="005175BA"/>
    <w:rsid w:val="005176CE"/>
    <w:rsid w:val="00517919"/>
    <w:rsid w:val="0052004F"/>
    <w:rsid w:val="005208DC"/>
    <w:rsid w:val="005243AF"/>
    <w:rsid w:val="00524B84"/>
    <w:rsid w:val="005251AE"/>
    <w:rsid w:val="0052716E"/>
    <w:rsid w:val="00530435"/>
    <w:rsid w:val="005309A7"/>
    <w:rsid w:val="00530C23"/>
    <w:rsid w:val="00530FF0"/>
    <w:rsid w:val="005314B8"/>
    <w:rsid w:val="00532EF6"/>
    <w:rsid w:val="005344F1"/>
    <w:rsid w:val="00536105"/>
    <w:rsid w:val="0053710F"/>
    <w:rsid w:val="00537B85"/>
    <w:rsid w:val="00542007"/>
    <w:rsid w:val="00542019"/>
    <w:rsid w:val="00542499"/>
    <w:rsid w:val="005432F0"/>
    <w:rsid w:val="00546D51"/>
    <w:rsid w:val="005471AB"/>
    <w:rsid w:val="005502D8"/>
    <w:rsid w:val="005512D7"/>
    <w:rsid w:val="00551B29"/>
    <w:rsid w:val="00552DBD"/>
    <w:rsid w:val="005533AA"/>
    <w:rsid w:val="00556B3B"/>
    <w:rsid w:val="00557C11"/>
    <w:rsid w:val="00560CFC"/>
    <w:rsid w:val="00561086"/>
    <w:rsid w:val="00563ECC"/>
    <w:rsid w:val="0056538D"/>
    <w:rsid w:val="00567176"/>
    <w:rsid w:val="00570F60"/>
    <w:rsid w:val="0057162E"/>
    <w:rsid w:val="00572581"/>
    <w:rsid w:val="0057409D"/>
    <w:rsid w:val="005741BA"/>
    <w:rsid w:val="00575468"/>
    <w:rsid w:val="005757CC"/>
    <w:rsid w:val="00575D62"/>
    <w:rsid w:val="00577861"/>
    <w:rsid w:val="00581652"/>
    <w:rsid w:val="00581880"/>
    <w:rsid w:val="00583714"/>
    <w:rsid w:val="00583E8A"/>
    <w:rsid w:val="005841EC"/>
    <w:rsid w:val="00585157"/>
    <w:rsid w:val="005852E5"/>
    <w:rsid w:val="00585429"/>
    <w:rsid w:val="00586437"/>
    <w:rsid w:val="00587561"/>
    <w:rsid w:val="00587AF8"/>
    <w:rsid w:val="00590304"/>
    <w:rsid w:val="00590992"/>
    <w:rsid w:val="00594CD2"/>
    <w:rsid w:val="005973B8"/>
    <w:rsid w:val="005A28B2"/>
    <w:rsid w:val="005A4E7D"/>
    <w:rsid w:val="005A52A3"/>
    <w:rsid w:val="005A5C99"/>
    <w:rsid w:val="005B025F"/>
    <w:rsid w:val="005B1931"/>
    <w:rsid w:val="005B277D"/>
    <w:rsid w:val="005B352D"/>
    <w:rsid w:val="005B3B3F"/>
    <w:rsid w:val="005B4965"/>
    <w:rsid w:val="005B6B09"/>
    <w:rsid w:val="005C08A5"/>
    <w:rsid w:val="005C0DF4"/>
    <w:rsid w:val="005C1285"/>
    <w:rsid w:val="005C17AA"/>
    <w:rsid w:val="005C45BE"/>
    <w:rsid w:val="005C5B52"/>
    <w:rsid w:val="005C645F"/>
    <w:rsid w:val="005C7061"/>
    <w:rsid w:val="005C71E4"/>
    <w:rsid w:val="005C7DB2"/>
    <w:rsid w:val="005D025D"/>
    <w:rsid w:val="005D2F85"/>
    <w:rsid w:val="005D393F"/>
    <w:rsid w:val="005D3B72"/>
    <w:rsid w:val="005D3BFF"/>
    <w:rsid w:val="005D3F88"/>
    <w:rsid w:val="005D7C8A"/>
    <w:rsid w:val="005E034D"/>
    <w:rsid w:val="005E10F5"/>
    <w:rsid w:val="005E1A81"/>
    <w:rsid w:val="005E1B38"/>
    <w:rsid w:val="005E44DF"/>
    <w:rsid w:val="005E49AC"/>
    <w:rsid w:val="005E50ED"/>
    <w:rsid w:val="005E52F0"/>
    <w:rsid w:val="005E53D3"/>
    <w:rsid w:val="005E79F3"/>
    <w:rsid w:val="005F001C"/>
    <w:rsid w:val="005F0B49"/>
    <w:rsid w:val="005F1E4C"/>
    <w:rsid w:val="005F24C3"/>
    <w:rsid w:val="005F3205"/>
    <w:rsid w:val="005F51C8"/>
    <w:rsid w:val="005F67FC"/>
    <w:rsid w:val="005F6E6F"/>
    <w:rsid w:val="005F742B"/>
    <w:rsid w:val="005F7450"/>
    <w:rsid w:val="005F755F"/>
    <w:rsid w:val="005F7585"/>
    <w:rsid w:val="00603443"/>
    <w:rsid w:val="00605B44"/>
    <w:rsid w:val="0060667E"/>
    <w:rsid w:val="00607A34"/>
    <w:rsid w:val="00607EEE"/>
    <w:rsid w:val="00611791"/>
    <w:rsid w:val="00611807"/>
    <w:rsid w:val="00612246"/>
    <w:rsid w:val="0061270F"/>
    <w:rsid w:val="00612DAB"/>
    <w:rsid w:val="00612E80"/>
    <w:rsid w:val="006151F7"/>
    <w:rsid w:val="006152B2"/>
    <w:rsid w:val="00616405"/>
    <w:rsid w:val="00617470"/>
    <w:rsid w:val="006212B6"/>
    <w:rsid w:val="0062141A"/>
    <w:rsid w:val="006215B4"/>
    <w:rsid w:val="006216E4"/>
    <w:rsid w:val="00621DED"/>
    <w:rsid w:val="00624035"/>
    <w:rsid w:val="00627639"/>
    <w:rsid w:val="00630639"/>
    <w:rsid w:val="00631766"/>
    <w:rsid w:val="00631AE1"/>
    <w:rsid w:val="00631E7E"/>
    <w:rsid w:val="00632B0D"/>
    <w:rsid w:val="00633A8C"/>
    <w:rsid w:val="00634DFE"/>
    <w:rsid w:val="006360C9"/>
    <w:rsid w:val="00640AD4"/>
    <w:rsid w:val="00641874"/>
    <w:rsid w:val="006454B0"/>
    <w:rsid w:val="006457B8"/>
    <w:rsid w:val="0065069B"/>
    <w:rsid w:val="00650DB0"/>
    <w:rsid w:val="006517C3"/>
    <w:rsid w:val="0065218B"/>
    <w:rsid w:val="006522D4"/>
    <w:rsid w:val="006546C8"/>
    <w:rsid w:val="00655106"/>
    <w:rsid w:val="00655252"/>
    <w:rsid w:val="006557C1"/>
    <w:rsid w:val="00655DE3"/>
    <w:rsid w:val="00655DEC"/>
    <w:rsid w:val="00662554"/>
    <w:rsid w:val="006630D7"/>
    <w:rsid w:val="006631BE"/>
    <w:rsid w:val="0066342C"/>
    <w:rsid w:val="006639AF"/>
    <w:rsid w:val="006653F6"/>
    <w:rsid w:val="00665F9A"/>
    <w:rsid w:val="00667395"/>
    <w:rsid w:val="00670436"/>
    <w:rsid w:val="00671241"/>
    <w:rsid w:val="00671CFD"/>
    <w:rsid w:val="006729B4"/>
    <w:rsid w:val="00673A36"/>
    <w:rsid w:val="00676FAE"/>
    <w:rsid w:val="00677CA9"/>
    <w:rsid w:val="006802D3"/>
    <w:rsid w:val="00680BD6"/>
    <w:rsid w:val="00681035"/>
    <w:rsid w:val="006814B7"/>
    <w:rsid w:val="006855CC"/>
    <w:rsid w:val="006865E2"/>
    <w:rsid w:val="006867AB"/>
    <w:rsid w:val="00686A8F"/>
    <w:rsid w:val="00686DBA"/>
    <w:rsid w:val="0068729E"/>
    <w:rsid w:val="0068796E"/>
    <w:rsid w:val="006903DD"/>
    <w:rsid w:val="0069195E"/>
    <w:rsid w:val="0069236A"/>
    <w:rsid w:val="006928F9"/>
    <w:rsid w:val="0069465E"/>
    <w:rsid w:val="00694AEF"/>
    <w:rsid w:val="00695922"/>
    <w:rsid w:val="0069648B"/>
    <w:rsid w:val="006970B8"/>
    <w:rsid w:val="006971EA"/>
    <w:rsid w:val="006A0436"/>
    <w:rsid w:val="006A0DC9"/>
    <w:rsid w:val="006A1E5E"/>
    <w:rsid w:val="006A231B"/>
    <w:rsid w:val="006A4E90"/>
    <w:rsid w:val="006A655F"/>
    <w:rsid w:val="006A6C64"/>
    <w:rsid w:val="006A723F"/>
    <w:rsid w:val="006A7CD2"/>
    <w:rsid w:val="006B192F"/>
    <w:rsid w:val="006B29EF"/>
    <w:rsid w:val="006B2C6A"/>
    <w:rsid w:val="006B390B"/>
    <w:rsid w:val="006B4252"/>
    <w:rsid w:val="006B480A"/>
    <w:rsid w:val="006B56BE"/>
    <w:rsid w:val="006B56E4"/>
    <w:rsid w:val="006B7092"/>
    <w:rsid w:val="006C20F2"/>
    <w:rsid w:val="006C2E0C"/>
    <w:rsid w:val="006C589C"/>
    <w:rsid w:val="006C5948"/>
    <w:rsid w:val="006C73A6"/>
    <w:rsid w:val="006D097D"/>
    <w:rsid w:val="006D1A1F"/>
    <w:rsid w:val="006D21A2"/>
    <w:rsid w:val="006D23D1"/>
    <w:rsid w:val="006D33FC"/>
    <w:rsid w:val="006D4DF4"/>
    <w:rsid w:val="006D65F7"/>
    <w:rsid w:val="006E0131"/>
    <w:rsid w:val="006E06B2"/>
    <w:rsid w:val="006E0BC1"/>
    <w:rsid w:val="006E1CE1"/>
    <w:rsid w:val="006E1F76"/>
    <w:rsid w:val="006E3DDC"/>
    <w:rsid w:val="006E4FAB"/>
    <w:rsid w:val="006E5453"/>
    <w:rsid w:val="006E5626"/>
    <w:rsid w:val="006E7D88"/>
    <w:rsid w:val="006F0632"/>
    <w:rsid w:val="006F12CF"/>
    <w:rsid w:val="006F14D7"/>
    <w:rsid w:val="006F17DE"/>
    <w:rsid w:val="006F27F8"/>
    <w:rsid w:val="006F2849"/>
    <w:rsid w:val="006F342F"/>
    <w:rsid w:val="006F3D9E"/>
    <w:rsid w:val="006F4696"/>
    <w:rsid w:val="006F60E1"/>
    <w:rsid w:val="006F7B95"/>
    <w:rsid w:val="006F7E81"/>
    <w:rsid w:val="00700796"/>
    <w:rsid w:val="007017F9"/>
    <w:rsid w:val="00701ED1"/>
    <w:rsid w:val="0070471E"/>
    <w:rsid w:val="00705C72"/>
    <w:rsid w:val="0070628C"/>
    <w:rsid w:val="00706CE5"/>
    <w:rsid w:val="00707509"/>
    <w:rsid w:val="00711183"/>
    <w:rsid w:val="0071167F"/>
    <w:rsid w:val="00711BE3"/>
    <w:rsid w:val="00711E0E"/>
    <w:rsid w:val="0071203C"/>
    <w:rsid w:val="007123AF"/>
    <w:rsid w:val="007124C2"/>
    <w:rsid w:val="007127E4"/>
    <w:rsid w:val="007129BF"/>
    <w:rsid w:val="00713672"/>
    <w:rsid w:val="00716C4F"/>
    <w:rsid w:val="00717354"/>
    <w:rsid w:val="00717378"/>
    <w:rsid w:val="00723169"/>
    <w:rsid w:val="00725581"/>
    <w:rsid w:val="007255C5"/>
    <w:rsid w:val="00725D96"/>
    <w:rsid w:val="00726090"/>
    <w:rsid w:val="007269AE"/>
    <w:rsid w:val="00726AFF"/>
    <w:rsid w:val="00730809"/>
    <w:rsid w:val="00730932"/>
    <w:rsid w:val="00732220"/>
    <w:rsid w:val="007324B0"/>
    <w:rsid w:val="007338AB"/>
    <w:rsid w:val="007349B9"/>
    <w:rsid w:val="00735747"/>
    <w:rsid w:val="00735FE7"/>
    <w:rsid w:val="00736CA6"/>
    <w:rsid w:val="007374E3"/>
    <w:rsid w:val="007401C0"/>
    <w:rsid w:val="00741FC7"/>
    <w:rsid w:val="007434E5"/>
    <w:rsid w:val="00743D4F"/>
    <w:rsid w:val="00743E7A"/>
    <w:rsid w:val="00744ECA"/>
    <w:rsid w:val="007455B3"/>
    <w:rsid w:val="00747619"/>
    <w:rsid w:val="00750867"/>
    <w:rsid w:val="0075135D"/>
    <w:rsid w:val="00751372"/>
    <w:rsid w:val="0075660B"/>
    <w:rsid w:val="007569F0"/>
    <w:rsid w:val="00757824"/>
    <w:rsid w:val="0076279C"/>
    <w:rsid w:val="007633AA"/>
    <w:rsid w:val="0076415F"/>
    <w:rsid w:val="0076464B"/>
    <w:rsid w:val="00765614"/>
    <w:rsid w:val="0076742F"/>
    <w:rsid w:val="007700CD"/>
    <w:rsid w:val="00770C64"/>
    <w:rsid w:val="0077148B"/>
    <w:rsid w:val="00771789"/>
    <w:rsid w:val="00771835"/>
    <w:rsid w:val="00771D7E"/>
    <w:rsid w:val="00771DD4"/>
    <w:rsid w:val="007728A6"/>
    <w:rsid w:val="00773127"/>
    <w:rsid w:val="00773324"/>
    <w:rsid w:val="00774899"/>
    <w:rsid w:val="00774CF2"/>
    <w:rsid w:val="00775778"/>
    <w:rsid w:val="00776A20"/>
    <w:rsid w:val="00781BD4"/>
    <w:rsid w:val="00783714"/>
    <w:rsid w:val="00784903"/>
    <w:rsid w:val="00784B5F"/>
    <w:rsid w:val="00784C4E"/>
    <w:rsid w:val="0078555C"/>
    <w:rsid w:val="007903BE"/>
    <w:rsid w:val="00791120"/>
    <w:rsid w:val="007915CD"/>
    <w:rsid w:val="007942AB"/>
    <w:rsid w:val="007944B5"/>
    <w:rsid w:val="00794F42"/>
    <w:rsid w:val="00797225"/>
    <w:rsid w:val="007A0141"/>
    <w:rsid w:val="007A0475"/>
    <w:rsid w:val="007A07F1"/>
    <w:rsid w:val="007A0B61"/>
    <w:rsid w:val="007A19EF"/>
    <w:rsid w:val="007A243F"/>
    <w:rsid w:val="007A43EA"/>
    <w:rsid w:val="007A4AB4"/>
    <w:rsid w:val="007A4C6C"/>
    <w:rsid w:val="007A4D8F"/>
    <w:rsid w:val="007A53C2"/>
    <w:rsid w:val="007A5B19"/>
    <w:rsid w:val="007B00D2"/>
    <w:rsid w:val="007B2BB3"/>
    <w:rsid w:val="007B4D3F"/>
    <w:rsid w:val="007B56A9"/>
    <w:rsid w:val="007B7A30"/>
    <w:rsid w:val="007B7DFB"/>
    <w:rsid w:val="007C09D1"/>
    <w:rsid w:val="007C1C78"/>
    <w:rsid w:val="007C2582"/>
    <w:rsid w:val="007C2A42"/>
    <w:rsid w:val="007C5650"/>
    <w:rsid w:val="007C5BF8"/>
    <w:rsid w:val="007C63DE"/>
    <w:rsid w:val="007C63F7"/>
    <w:rsid w:val="007D0CB8"/>
    <w:rsid w:val="007D19AA"/>
    <w:rsid w:val="007D1E7E"/>
    <w:rsid w:val="007D29EB"/>
    <w:rsid w:val="007D3407"/>
    <w:rsid w:val="007D4361"/>
    <w:rsid w:val="007D62B2"/>
    <w:rsid w:val="007D780F"/>
    <w:rsid w:val="007D7B4A"/>
    <w:rsid w:val="007E0819"/>
    <w:rsid w:val="007E1313"/>
    <w:rsid w:val="007E2306"/>
    <w:rsid w:val="007E43AA"/>
    <w:rsid w:val="007E452E"/>
    <w:rsid w:val="007E4544"/>
    <w:rsid w:val="007E4A24"/>
    <w:rsid w:val="007E4D99"/>
    <w:rsid w:val="007E5C9A"/>
    <w:rsid w:val="007E5CD5"/>
    <w:rsid w:val="007F1574"/>
    <w:rsid w:val="007F1F93"/>
    <w:rsid w:val="007F223E"/>
    <w:rsid w:val="007F3E97"/>
    <w:rsid w:val="007F4616"/>
    <w:rsid w:val="007F60BF"/>
    <w:rsid w:val="007F7CFF"/>
    <w:rsid w:val="008002DB"/>
    <w:rsid w:val="00801FEC"/>
    <w:rsid w:val="00802020"/>
    <w:rsid w:val="00804845"/>
    <w:rsid w:val="00804DD2"/>
    <w:rsid w:val="0080507A"/>
    <w:rsid w:val="0080545F"/>
    <w:rsid w:val="00806070"/>
    <w:rsid w:val="00806369"/>
    <w:rsid w:val="00807E66"/>
    <w:rsid w:val="00807E9F"/>
    <w:rsid w:val="008105B8"/>
    <w:rsid w:val="00813A40"/>
    <w:rsid w:val="008147EF"/>
    <w:rsid w:val="00814DF6"/>
    <w:rsid w:val="00816788"/>
    <w:rsid w:val="00817AB2"/>
    <w:rsid w:val="00817D1D"/>
    <w:rsid w:val="00821956"/>
    <w:rsid w:val="008227D9"/>
    <w:rsid w:val="00824CE1"/>
    <w:rsid w:val="00825D44"/>
    <w:rsid w:val="00826AAA"/>
    <w:rsid w:val="0082779B"/>
    <w:rsid w:val="008278DD"/>
    <w:rsid w:val="00831397"/>
    <w:rsid w:val="00831999"/>
    <w:rsid w:val="008325C8"/>
    <w:rsid w:val="0083330D"/>
    <w:rsid w:val="0083401A"/>
    <w:rsid w:val="008350F3"/>
    <w:rsid w:val="00835896"/>
    <w:rsid w:val="00835BE9"/>
    <w:rsid w:val="00836950"/>
    <w:rsid w:val="00841DC7"/>
    <w:rsid w:val="008429F3"/>
    <w:rsid w:val="0084352F"/>
    <w:rsid w:val="00844D82"/>
    <w:rsid w:val="00845322"/>
    <w:rsid w:val="0084659A"/>
    <w:rsid w:val="00846AA3"/>
    <w:rsid w:val="008508C5"/>
    <w:rsid w:val="008515A3"/>
    <w:rsid w:val="008515C9"/>
    <w:rsid w:val="00852D3F"/>
    <w:rsid w:val="00852FB3"/>
    <w:rsid w:val="00855D86"/>
    <w:rsid w:val="00864BCF"/>
    <w:rsid w:val="00865C26"/>
    <w:rsid w:val="008677E3"/>
    <w:rsid w:val="00867EA7"/>
    <w:rsid w:val="00870A3B"/>
    <w:rsid w:val="00873627"/>
    <w:rsid w:val="00873A25"/>
    <w:rsid w:val="00874846"/>
    <w:rsid w:val="008753A2"/>
    <w:rsid w:val="0087555B"/>
    <w:rsid w:val="00880403"/>
    <w:rsid w:val="00882694"/>
    <w:rsid w:val="008840E0"/>
    <w:rsid w:val="00885888"/>
    <w:rsid w:val="0088605E"/>
    <w:rsid w:val="00886310"/>
    <w:rsid w:val="00886C49"/>
    <w:rsid w:val="00887836"/>
    <w:rsid w:val="008919D8"/>
    <w:rsid w:val="00891A0F"/>
    <w:rsid w:val="00892357"/>
    <w:rsid w:val="008923A2"/>
    <w:rsid w:val="00892572"/>
    <w:rsid w:val="00892DF7"/>
    <w:rsid w:val="00892EFD"/>
    <w:rsid w:val="008952D1"/>
    <w:rsid w:val="008A0674"/>
    <w:rsid w:val="008A3347"/>
    <w:rsid w:val="008A3EDA"/>
    <w:rsid w:val="008A4AD9"/>
    <w:rsid w:val="008A56E1"/>
    <w:rsid w:val="008A6127"/>
    <w:rsid w:val="008A724A"/>
    <w:rsid w:val="008B0E98"/>
    <w:rsid w:val="008B1E8D"/>
    <w:rsid w:val="008B2056"/>
    <w:rsid w:val="008B2E8D"/>
    <w:rsid w:val="008B2F88"/>
    <w:rsid w:val="008B7E4E"/>
    <w:rsid w:val="008C1617"/>
    <w:rsid w:val="008C193D"/>
    <w:rsid w:val="008C3206"/>
    <w:rsid w:val="008C438E"/>
    <w:rsid w:val="008C4742"/>
    <w:rsid w:val="008D07C0"/>
    <w:rsid w:val="008D3BA8"/>
    <w:rsid w:val="008D59C0"/>
    <w:rsid w:val="008D662F"/>
    <w:rsid w:val="008D7DEA"/>
    <w:rsid w:val="008E005B"/>
    <w:rsid w:val="008E1154"/>
    <w:rsid w:val="008E2C64"/>
    <w:rsid w:val="008E56A0"/>
    <w:rsid w:val="008E62F2"/>
    <w:rsid w:val="008E6F08"/>
    <w:rsid w:val="008E7950"/>
    <w:rsid w:val="008F02FA"/>
    <w:rsid w:val="008F101D"/>
    <w:rsid w:val="008F1B16"/>
    <w:rsid w:val="008F287A"/>
    <w:rsid w:val="008F31DA"/>
    <w:rsid w:val="008F3AF5"/>
    <w:rsid w:val="008F4700"/>
    <w:rsid w:val="008F5218"/>
    <w:rsid w:val="008F704C"/>
    <w:rsid w:val="00900185"/>
    <w:rsid w:val="009010FC"/>
    <w:rsid w:val="0090158F"/>
    <w:rsid w:val="00901ED1"/>
    <w:rsid w:val="00902B3B"/>
    <w:rsid w:val="00902DF7"/>
    <w:rsid w:val="00903290"/>
    <w:rsid w:val="00903D50"/>
    <w:rsid w:val="00903E88"/>
    <w:rsid w:val="00903FBC"/>
    <w:rsid w:val="00904109"/>
    <w:rsid w:val="0091147C"/>
    <w:rsid w:val="009118EA"/>
    <w:rsid w:val="00911972"/>
    <w:rsid w:val="00911AE3"/>
    <w:rsid w:val="0091240E"/>
    <w:rsid w:val="00912D46"/>
    <w:rsid w:val="00913DB6"/>
    <w:rsid w:val="00914B41"/>
    <w:rsid w:val="00915FD0"/>
    <w:rsid w:val="0091700A"/>
    <w:rsid w:val="009208EA"/>
    <w:rsid w:val="00920C08"/>
    <w:rsid w:val="0092113E"/>
    <w:rsid w:val="00922F3A"/>
    <w:rsid w:val="00923FC5"/>
    <w:rsid w:val="00923FD2"/>
    <w:rsid w:val="00925C5C"/>
    <w:rsid w:val="0092704A"/>
    <w:rsid w:val="00927307"/>
    <w:rsid w:val="0092748E"/>
    <w:rsid w:val="009323C3"/>
    <w:rsid w:val="009327B8"/>
    <w:rsid w:val="00933F52"/>
    <w:rsid w:val="009355A2"/>
    <w:rsid w:val="00936F63"/>
    <w:rsid w:val="00937732"/>
    <w:rsid w:val="009377EB"/>
    <w:rsid w:val="00940CE7"/>
    <w:rsid w:val="00940EE3"/>
    <w:rsid w:val="00941511"/>
    <w:rsid w:val="0094451D"/>
    <w:rsid w:val="0094533B"/>
    <w:rsid w:val="00945AB7"/>
    <w:rsid w:val="009468EC"/>
    <w:rsid w:val="00946E7E"/>
    <w:rsid w:val="00947239"/>
    <w:rsid w:val="00947A6E"/>
    <w:rsid w:val="00947B1C"/>
    <w:rsid w:val="00947E11"/>
    <w:rsid w:val="00950A86"/>
    <w:rsid w:val="009511B9"/>
    <w:rsid w:val="009520E0"/>
    <w:rsid w:val="00952843"/>
    <w:rsid w:val="00952BDE"/>
    <w:rsid w:val="00952F6C"/>
    <w:rsid w:val="00960231"/>
    <w:rsid w:val="0096155A"/>
    <w:rsid w:val="00961B0E"/>
    <w:rsid w:val="00961DE0"/>
    <w:rsid w:val="009620FE"/>
    <w:rsid w:val="0096285A"/>
    <w:rsid w:val="00963487"/>
    <w:rsid w:val="0096378C"/>
    <w:rsid w:val="009637B7"/>
    <w:rsid w:val="00963CF1"/>
    <w:rsid w:val="00963D18"/>
    <w:rsid w:val="00966B86"/>
    <w:rsid w:val="0096797B"/>
    <w:rsid w:val="00970D21"/>
    <w:rsid w:val="00971783"/>
    <w:rsid w:val="00974D25"/>
    <w:rsid w:val="00976247"/>
    <w:rsid w:val="00976321"/>
    <w:rsid w:val="00976546"/>
    <w:rsid w:val="00977197"/>
    <w:rsid w:val="00977725"/>
    <w:rsid w:val="00977BB5"/>
    <w:rsid w:val="00980BE3"/>
    <w:rsid w:val="00980DE4"/>
    <w:rsid w:val="00981AD8"/>
    <w:rsid w:val="00982007"/>
    <w:rsid w:val="00982B74"/>
    <w:rsid w:val="009830DC"/>
    <w:rsid w:val="0098369D"/>
    <w:rsid w:val="00984510"/>
    <w:rsid w:val="0099200F"/>
    <w:rsid w:val="009921E8"/>
    <w:rsid w:val="009925ED"/>
    <w:rsid w:val="009932E1"/>
    <w:rsid w:val="00993833"/>
    <w:rsid w:val="00993EDE"/>
    <w:rsid w:val="00994B4E"/>
    <w:rsid w:val="009A0924"/>
    <w:rsid w:val="009A0B3D"/>
    <w:rsid w:val="009A11A5"/>
    <w:rsid w:val="009A1B64"/>
    <w:rsid w:val="009A2D00"/>
    <w:rsid w:val="009A4D3C"/>
    <w:rsid w:val="009A5E0E"/>
    <w:rsid w:val="009A7BEA"/>
    <w:rsid w:val="009B072C"/>
    <w:rsid w:val="009B125F"/>
    <w:rsid w:val="009B1CA0"/>
    <w:rsid w:val="009B254A"/>
    <w:rsid w:val="009B305C"/>
    <w:rsid w:val="009B488F"/>
    <w:rsid w:val="009B50B6"/>
    <w:rsid w:val="009B6819"/>
    <w:rsid w:val="009B7C8B"/>
    <w:rsid w:val="009C1588"/>
    <w:rsid w:val="009C1BA7"/>
    <w:rsid w:val="009C2A92"/>
    <w:rsid w:val="009C39F4"/>
    <w:rsid w:val="009C557F"/>
    <w:rsid w:val="009C6328"/>
    <w:rsid w:val="009C6CB8"/>
    <w:rsid w:val="009D02AD"/>
    <w:rsid w:val="009D04CB"/>
    <w:rsid w:val="009D22A7"/>
    <w:rsid w:val="009D3605"/>
    <w:rsid w:val="009D3A61"/>
    <w:rsid w:val="009D4B7F"/>
    <w:rsid w:val="009D74AC"/>
    <w:rsid w:val="009D7F49"/>
    <w:rsid w:val="009E06EB"/>
    <w:rsid w:val="009E1694"/>
    <w:rsid w:val="009E1EE0"/>
    <w:rsid w:val="009E46A1"/>
    <w:rsid w:val="009E520C"/>
    <w:rsid w:val="009F035B"/>
    <w:rsid w:val="009F1633"/>
    <w:rsid w:val="009F22B2"/>
    <w:rsid w:val="009F3639"/>
    <w:rsid w:val="009F55E1"/>
    <w:rsid w:val="009F5DD9"/>
    <w:rsid w:val="00A00346"/>
    <w:rsid w:val="00A03889"/>
    <w:rsid w:val="00A04CFF"/>
    <w:rsid w:val="00A06413"/>
    <w:rsid w:val="00A06940"/>
    <w:rsid w:val="00A06C80"/>
    <w:rsid w:val="00A07AA3"/>
    <w:rsid w:val="00A10D92"/>
    <w:rsid w:val="00A120EE"/>
    <w:rsid w:val="00A1265D"/>
    <w:rsid w:val="00A1323B"/>
    <w:rsid w:val="00A13892"/>
    <w:rsid w:val="00A13F48"/>
    <w:rsid w:val="00A1427F"/>
    <w:rsid w:val="00A14D51"/>
    <w:rsid w:val="00A16655"/>
    <w:rsid w:val="00A17489"/>
    <w:rsid w:val="00A2138A"/>
    <w:rsid w:val="00A2279A"/>
    <w:rsid w:val="00A25416"/>
    <w:rsid w:val="00A25C95"/>
    <w:rsid w:val="00A26138"/>
    <w:rsid w:val="00A26E2B"/>
    <w:rsid w:val="00A2733E"/>
    <w:rsid w:val="00A277BE"/>
    <w:rsid w:val="00A302B8"/>
    <w:rsid w:val="00A3071A"/>
    <w:rsid w:val="00A3072D"/>
    <w:rsid w:val="00A30C2B"/>
    <w:rsid w:val="00A32D5B"/>
    <w:rsid w:val="00A32F28"/>
    <w:rsid w:val="00A33742"/>
    <w:rsid w:val="00A33B84"/>
    <w:rsid w:val="00A33C04"/>
    <w:rsid w:val="00A35380"/>
    <w:rsid w:val="00A3568F"/>
    <w:rsid w:val="00A3570E"/>
    <w:rsid w:val="00A375A1"/>
    <w:rsid w:val="00A37CBA"/>
    <w:rsid w:val="00A403DA"/>
    <w:rsid w:val="00A409EB"/>
    <w:rsid w:val="00A4114F"/>
    <w:rsid w:val="00A41C2A"/>
    <w:rsid w:val="00A426DF"/>
    <w:rsid w:val="00A43EE2"/>
    <w:rsid w:val="00A455C2"/>
    <w:rsid w:val="00A46044"/>
    <w:rsid w:val="00A47600"/>
    <w:rsid w:val="00A51096"/>
    <w:rsid w:val="00A52298"/>
    <w:rsid w:val="00A52324"/>
    <w:rsid w:val="00A54991"/>
    <w:rsid w:val="00A5530F"/>
    <w:rsid w:val="00A553AA"/>
    <w:rsid w:val="00A555B3"/>
    <w:rsid w:val="00A577E3"/>
    <w:rsid w:val="00A613C9"/>
    <w:rsid w:val="00A61AA7"/>
    <w:rsid w:val="00A629BC"/>
    <w:rsid w:val="00A63A89"/>
    <w:rsid w:val="00A64FB9"/>
    <w:rsid w:val="00A654DC"/>
    <w:rsid w:val="00A66BC1"/>
    <w:rsid w:val="00A70C89"/>
    <w:rsid w:val="00A72593"/>
    <w:rsid w:val="00A72995"/>
    <w:rsid w:val="00A72C56"/>
    <w:rsid w:val="00A73788"/>
    <w:rsid w:val="00A74975"/>
    <w:rsid w:val="00A76171"/>
    <w:rsid w:val="00A7703D"/>
    <w:rsid w:val="00A800F7"/>
    <w:rsid w:val="00A808EC"/>
    <w:rsid w:val="00A80ACE"/>
    <w:rsid w:val="00A812FC"/>
    <w:rsid w:val="00A815BB"/>
    <w:rsid w:val="00A8269F"/>
    <w:rsid w:val="00A8325B"/>
    <w:rsid w:val="00A8437C"/>
    <w:rsid w:val="00A8457E"/>
    <w:rsid w:val="00A91F9B"/>
    <w:rsid w:val="00A9280D"/>
    <w:rsid w:val="00A93128"/>
    <w:rsid w:val="00A9417A"/>
    <w:rsid w:val="00A94254"/>
    <w:rsid w:val="00A94412"/>
    <w:rsid w:val="00A9485D"/>
    <w:rsid w:val="00A94C30"/>
    <w:rsid w:val="00A94FB5"/>
    <w:rsid w:val="00A95EF9"/>
    <w:rsid w:val="00A95F5C"/>
    <w:rsid w:val="00A96076"/>
    <w:rsid w:val="00A969A7"/>
    <w:rsid w:val="00A97037"/>
    <w:rsid w:val="00A971E8"/>
    <w:rsid w:val="00A97B35"/>
    <w:rsid w:val="00AA1956"/>
    <w:rsid w:val="00AA1D5B"/>
    <w:rsid w:val="00AA23CC"/>
    <w:rsid w:val="00AA3475"/>
    <w:rsid w:val="00AA45A0"/>
    <w:rsid w:val="00AA4746"/>
    <w:rsid w:val="00AA4A51"/>
    <w:rsid w:val="00AA5DE4"/>
    <w:rsid w:val="00AA6D15"/>
    <w:rsid w:val="00AB0550"/>
    <w:rsid w:val="00AB348C"/>
    <w:rsid w:val="00AB47A2"/>
    <w:rsid w:val="00AB50CB"/>
    <w:rsid w:val="00AB6BD4"/>
    <w:rsid w:val="00AB6C2C"/>
    <w:rsid w:val="00AB6CAA"/>
    <w:rsid w:val="00AC0DE3"/>
    <w:rsid w:val="00AC16B4"/>
    <w:rsid w:val="00AC20BD"/>
    <w:rsid w:val="00AC706A"/>
    <w:rsid w:val="00AD1602"/>
    <w:rsid w:val="00AD1839"/>
    <w:rsid w:val="00AD2225"/>
    <w:rsid w:val="00AD56CD"/>
    <w:rsid w:val="00AD598D"/>
    <w:rsid w:val="00AD6128"/>
    <w:rsid w:val="00AD7A9A"/>
    <w:rsid w:val="00AE0461"/>
    <w:rsid w:val="00AE0C2A"/>
    <w:rsid w:val="00AE0E9E"/>
    <w:rsid w:val="00AE1E78"/>
    <w:rsid w:val="00AE2F60"/>
    <w:rsid w:val="00AE381E"/>
    <w:rsid w:val="00AE3B2B"/>
    <w:rsid w:val="00AE4294"/>
    <w:rsid w:val="00AE541F"/>
    <w:rsid w:val="00AE69DA"/>
    <w:rsid w:val="00AF0BB7"/>
    <w:rsid w:val="00AF2967"/>
    <w:rsid w:val="00AF54CB"/>
    <w:rsid w:val="00AF64E3"/>
    <w:rsid w:val="00AF67F6"/>
    <w:rsid w:val="00AF7ABC"/>
    <w:rsid w:val="00AF7B6E"/>
    <w:rsid w:val="00B02437"/>
    <w:rsid w:val="00B02B72"/>
    <w:rsid w:val="00B0328A"/>
    <w:rsid w:val="00B0361A"/>
    <w:rsid w:val="00B03BD5"/>
    <w:rsid w:val="00B03EE7"/>
    <w:rsid w:val="00B0406E"/>
    <w:rsid w:val="00B046CC"/>
    <w:rsid w:val="00B051D6"/>
    <w:rsid w:val="00B05A60"/>
    <w:rsid w:val="00B06B0D"/>
    <w:rsid w:val="00B07409"/>
    <w:rsid w:val="00B107A6"/>
    <w:rsid w:val="00B10F51"/>
    <w:rsid w:val="00B11F54"/>
    <w:rsid w:val="00B125BC"/>
    <w:rsid w:val="00B13CAF"/>
    <w:rsid w:val="00B14014"/>
    <w:rsid w:val="00B148A6"/>
    <w:rsid w:val="00B15C50"/>
    <w:rsid w:val="00B16D33"/>
    <w:rsid w:val="00B16FE7"/>
    <w:rsid w:val="00B1750E"/>
    <w:rsid w:val="00B2067A"/>
    <w:rsid w:val="00B217A6"/>
    <w:rsid w:val="00B22524"/>
    <w:rsid w:val="00B24CE2"/>
    <w:rsid w:val="00B24F26"/>
    <w:rsid w:val="00B25180"/>
    <w:rsid w:val="00B25480"/>
    <w:rsid w:val="00B270EE"/>
    <w:rsid w:val="00B31995"/>
    <w:rsid w:val="00B32A93"/>
    <w:rsid w:val="00B34D55"/>
    <w:rsid w:val="00B35426"/>
    <w:rsid w:val="00B4093C"/>
    <w:rsid w:val="00B409F0"/>
    <w:rsid w:val="00B40CF4"/>
    <w:rsid w:val="00B41788"/>
    <w:rsid w:val="00B41A3C"/>
    <w:rsid w:val="00B43C93"/>
    <w:rsid w:val="00B43EC5"/>
    <w:rsid w:val="00B44D88"/>
    <w:rsid w:val="00B45009"/>
    <w:rsid w:val="00B450A2"/>
    <w:rsid w:val="00B4659C"/>
    <w:rsid w:val="00B517B1"/>
    <w:rsid w:val="00B53FBE"/>
    <w:rsid w:val="00B544C9"/>
    <w:rsid w:val="00B55E3D"/>
    <w:rsid w:val="00B56BC6"/>
    <w:rsid w:val="00B57747"/>
    <w:rsid w:val="00B6207F"/>
    <w:rsid w:val="00B63298"/>
    <w:rsid w:val="00B63774"/>
    <w:rsid w:val="00B649E8"/>
    <w:rsid w:val="00B64E3D"/>
    <w:rsid w:val="00B657CB"/>
    <w:rsid w:val="00B7058B"/>
    <w:rsid w:val="00B70C46"/>
    <w:rsid w:val="00B70E8F"/>
    <w:rsid w:val="00B71245"/>
    <w:rsid w:val="00B71809"/>
    <w:rsid w:val="00B7227D"/>
    <w:rsid w:val="00B728E3"/>
    <w:rsid w:val="00B73072"/>
    <w:rsid w:val="00B73460"/>
    <w:rsid w:val="00B74492"/>
    <w:rsid w:val="00B76A06"/>
    <w:rsid w:val="00B8138B"/>
    <w:rsid w:val="00B8193C"/>
    <w:rsid w:val="00B82848"/>
    <w:rsid w:val="00B82EA4"/>
    <w:rsid w:val="00B83634"/>
    <w:rsid w:val="00B8384D"/>
    <w:rsid w:val="00B848B1"/>
    <w:rsid w:val="00B85C9A"/>
    <w:rsid w:val="00B8716C"/>
    <w:rsid w:val="00B907EA"/>
    <w:rsid w:val="00B90E75"/>
    <w:rsid w:val="00B927F9"/>
    <w:rsid w:val="00B93144"/>
    <w:rsid w:val="00BA22C8"/>
    <w:rsid w:val="00BA2625"/>
    <w:rsid w:val="00BA3261"/>
    <w:rsid w:val="00BA5434"/>
    <w:rsid w:val="00BA5B4B"/>
    <w:rsid w:val="00BA6502"/>
    <w:rsid w:val="00BB24E6"/>
    <w:rsid w:val="00BB3903"/>
    <w:rsid w:val="00BB415A"/>
    <w:rsid w:val="00BB426A"/>
    <w:rsid w:val="00BB4288"/>
    <w:rsid w:val="00BB4985"/>
    <w:rsid w:val="00BC0267"/>
    <w:rsid w:val="00BC0B65"/>
    <w:rsid w:val="00BC1A4E"/>
    <w:rsid w:val="00BC1CF0"/>
    <w:rsid w:val="00BC69EB"/>
    <w:rsid w:val="00BC6F2B"/>
    <w:rsid w:val="00BC7056"/>
    <w:rsid w:val="00BC736D"/>
    <w:rsid w:val="00BC7584"/>
    <w:rsid w:val="00BC778D"/>
    <w:rsid w:val="00BD0CC5"/>
    <w:rsid w:val="00BD17FA"/>
    <w:rsid w:val="00BD3DF9"/>
    <w:rsid w:val="00BD442E"/>
    <w:rsid w:val="00BD4613"/>
    <w:rsid w:val="00BD64F7"/>
    <w:rsid w:val="00BD7181"/>
    <w:rsid w:val="00BE0F50"/>
    <w:rsid w:val="00BE3090"/>
    <w:rsid w:val="00BE48F3"/>
    <w:rsid w:val="00BE4F96"/>
    <w:rsid w:val="00BF0F07"/>
    <w:rsid w:val="00BF1B10"/>
    <w:rsid w:val="00BF2A6A"/>
    <w:rsid w:val="00BF38DB"/>
    <w:rsid w:val="00BF6591"/>
    <w:rsid w:val="00BF7046"/>
    <w:rsid w:val="00BF72DD"/>
    <w:rsid w:val="00C00886"/>
    <w:rsid w:val="00C0137A"/>
    <w:rsid w:val="00C03976"/>
    <w:rsid w:val="00C04D86"/>
    <w:rsid w:val="00C05C10"/>
    <w:rsid w:val="00C068AA"/>
    <w:rsid w:val="00C06BF2"/>
    <w:rsid w:val="00C11526"/>
    <w:rsid w:val="00C11750"/>
    <w:rsid w:val="00C11EBA"/>
    <w:rsid w:val="00C12153"/>
    <w:rsid w:val="00C12B2D"/>
    <w:rsid w:val="00C1386E"/>
    <w:rsid w:val="00C16CFC"/>
    <w:rsid w:val="00C205AF"/>
    <w:rsid w:val="00C21216"/>
    <w:rsid w:val="00C21E0B"/>
    <w:rsid w:val="00C24A90"/>
    <w:rsid w:val="00C26A19"/>
    <w:rsid w:val="00C3072F"/>
    <w:rsid w:val="00C3111E"/>
    <w:rsid w:val="00C3354F"/>
    <w:rsid w:val="00C356B5"/>
    <w:rsid w:val="00C3693D"/>
    <w:rsid w:val="00C36D8B"/>
    <w:rsid w:val="00C42551"/>
    <w:rsid w:val="00C42D95"/>
    <w:rsid w:val="00C462AE"/>
    <w:rsid w:val="00C48A6D"/>
    <w:rsid w:val="00C502F6"/>
    <w:rsid w:val="00C529DC"/>
    <w:rsid w:val="00C535EA"/>
    <w:rsid w:val="00C54D3E"/>
    <w:rsid w:val="00C55D78"/>
    <w:rsid w:val="00C56B2F"/>
    <w:rsid w:val="00C679D4"/>
    <w:rsid w:val="00C70F81"/>
    <w:rsid w:val="00C72131"/>
    <w:rsid w:val="00C732E7"/>
    <w:rsid w:val="00C73535"/>
    <w:rsid w:val="00C744FF"/>
    <w:rsid w:val="00C747CA"/>
    <w:rsid w:val="00C74D38"/>
    <w:rsid w:val="00C74DC8"/>
    <w:rsid w:val="00C7694E"/>
    <w:rsid w:val="00C77CB8"/>
    <w:rsid w:val="00C81C9D"/>
    <w:rsid w:val="00C81F0B"/>
    <w:rsid w:val="00C81F39"/>
    <w:rsid w:val="00C820C7"/>
    <w:rsid w:val="00C8280E"/>
    <w:rsid w:val="00C83002"/>
    <w:rsid w:val="00C8313D"/>
    <w:rsid w:val="00C870EB"/>
    <w:rsid w:val="00C90D0D"/>
    <w:rsid w:val="00C90EF1"/>
    <w:rsid w:val="00C913EC"/>
    <w:rsid w:val="00C9159A"/>
    <w:rsid w:val="00C92FDD"/>
    <w:rsid w:val="00C93AE0"/>
    <w:rsid w:val="00C93BE3"/>
    <w:rsid w:val="00C94E35"/>
    <w:rsid w:val="00C95155"/>
    <w:rsid w:val="00C95E67"/>
    <w:rsid w:val="00C96026"/>
    <w:rsid w:val="00C97101"/>
    <w:rsid w:val="00C97302"/>
    <w:rsid w:val="00CA026F"/>
    <w:rsid w:val="00CA0B22"/>
    <w:rsid w:val="00CA1CA5"/>
    <w:rsid w:val="00CA5656"/>
    <w:rsid w:val="00CA6D78"/>
    <w:rsid w:val="00CA724B"/>
    <w:rsid w:val="00CB12BB"/>
    <w:rsid w:val="00CB5536"/>
    <w:rsid w:val="00CB6678"/>
    <w:rsid w:val="00CB7335"/>
    <w:rsid w:val="00CC0EC4"/>
    <w:rsid w:val="00CC260E"/>
    <w:rsid w:val="00CC34A9"/>
    <w:rsid w:val="00CC40F8"/>
    <w:rsid w:val="00CC549E"/>
    <w:rsid w:val="00CC77A8"/>
    <w:rsid w:val="00CC7B0F"/>
    <w:rsid w:val="00CD01EB"/>
    <w:rsid w:val="00CD1AEA"/>
    <w:rsid w:val="00CD3EDB"/>
    <w:rsid w:val="00CD43BD"/>
    <w:rsid w:val="00CD79BF"/>
    <w:rsid w:val="00CE040C"/>
    <w:rsid w:val="00CE1B8C"/>
    <w:rsid w:val="00CE1EDB"/>
    <w:rsid w:val="00CE2DA8"/>
    <w:rsid w:val="00CE31F4"/>
    <w:rsid w:val="00CE4FBF"/>
    <w:rsid w:val="00CF0690"/>
    <w:rsid w:val="00CF2BF1"/>
    <w:rsid w:val="00CF3860"/>
    <w:rsid w:val="00CF5563"/>
    <w:rsid w:val="00CF5D22"/>
    <w:rsid w:val="00CF5D46"/>
    <w:rsid w:val="00CF667D"/>
    <w:rsid w:val="00CF7CD1"/>
    <w:rsid w:val="00D04847"/>
    <w:rsid w:val="00D0544D"/>
    <w:rsid w:val="00D05725"/>
    <w:rsid w:val="00D06DA0"/>
    <w:rsid w:val="00D07251"/>
    <w:rsid w:val="00D07D77"/>
    <w:rsid w:val="00D07DB0"/>
    <w:rsid w:val="00D10D58"/>
    <w:rsid w:val="00D13AF4"/>
    <w:rsid w:val="00D13DD7"/>
    <w:rsid w:val="00D14232"/>
    <w:rsid w:val="00D146F1"/>
    <w:rsid w:val="00D16504"/>
    <w:rsid w:val="00D20C9D"/>
    <w:rsid w:val="00D2252C"/>
    <w:rsid w:val="00D228C8"/>
    <w:rsid w:val="00D2400E"/>
    <w:rsid w:val="00D246D4"/>
    <w:rsid w:val="00D25489"/>
    <w:rsid w:val="00D25CF4"/>
    <w:rsid w:val="00D262CE"/>
    <w:rsid w:val="00D26976"/>
    <w:rsid w:val="00D309DA"/>
    <w:rsid w:val="00D30B12"/>
    <w:rsid w:val="00D35073"/>
    <w:rsid w:val="00D377B4"/>
    <w:rsid w:val="00D37882"/>
    <w:rsid w:val="00D407F4"/>
    <w:rsid w:val="00D42E39"/>
    <w:rsid w:val="00D4546A"/>
    <w:rsid w:val="00D46746"/>
    <w:rsid w:val="00D46ED7"/>
    <w:rsid w:val="00D51B0A"/>
    <w:rsid w:val="00D51B95"/>
    <w:rsid w:val="00D5233B"/>
    <w:rsid w:val="00D53478"/>
    <w:rsid w:val="00D53782"/>
    <w:rsid w:val="00D54A0B"/>
    <w:rsid w:val="00D555DC"/>
    <w:rsid w:val="00D558A0"/>
    <w:rsid w:val="00D60CCF"/>
    <w:rsid w:val="00D6204F"/>
    <w:rsid w:val="00D62668"/>
    <w:rsid w:val="00D62BB4"/>
    <w:rsid w:val="00D6464C"/>
    <w:rsid w:val="00D65D1E"/>
    <w:rsid w:val="00D66884"/>
    <w:rsid w:val="00D67B9F"/>
    <w:rsid w:val="00D702B2"/>
    <w:rsid w:val="00D71C26"/>
    <w:rsid w:val="00D72902"/>
    <w:rsid w:val="00D7520F"/>
    <w:rsid w:val="00D753BD"/>
    <w:rsid w:val="00D81B55"/>
    <w:rsid w:val="00D82BAC"/>
    <w:rsid w:val="00D83B53"/>
    <w:rsid w:val="00D8408E"/>
    <w:rsid w:val="00D84BD5"/>
    <w:rsid w:val="00D86815"/>
    <w:rsid w:val="00D87D7B"/>
    <w:rsid w:val="00D9131E"/>
    <w:rsid w:val="00D91E20"/>
    <w:rsid w:val="00D93D2E"/>
    <w:rsid w:val="00D93EB7"/>
    <w:rsid w:val="00D93FD6"/>
    <w:rsid w:val="00D941A3"/>
    <w:rsid w:val="00D94A16"/>
    <w:rsid w:val="00D95407"/>
    <w:rsid w:val="00D97172"/>
    <w:rsid w:val="00D97AF1"/>
    <w:rsid w:val="00DA08C5"/>
    <w:rsid w:val="00DA1024"/>
    <w:rsid w:val="00DA1F66"/>
    <w:rsid w:val="00DA3AE5"/>
    <w:rsid w:val="00DA3AF9"/>
    <w:rsid w:val="00DA490B"/>
    <w:rsid w:val="00DA4ACD"/>
    <w:rsid w:val="00DA5A5F"/>
    <w:rsid w:val="00DA71CB"/>
    <w:rsid w:val="00DB2988"/>
    <w:rsid w:val="00DB34A9"/>
    <w:rsid w:val="00DB38E0"/>
    <w:rsid w:val="00DB4E72"/>
    <w:rsid w:val="00DB555C"/>
    <w:rsid w:val="00DC0608"/>
    <w:rsid w:val="00DC3BBB"/>
    <w:rsid w:val="00DC5ACB"/>
    <w:rsid w:val="00DC5ADD"/>
    <w:rsid w:val="00DC5AE7"/>
    <w:rsid w:val="00DC6317"/>
    <w:rsid w:val="00DD147F"/>
    <w:rsid w:val="00DD4C17"/>
    <w:rsid w:val="00DD5193"/>
    <w:rsid w:val="00DD51E8"/>
    <w:rsid w:val="00DD5F0D"/>
    <w:rsid w:val="00DD7A6A"/>
    <w:rsid w:val="00DE0705"/>
    <w:rsid w:val="00DE2570"/>
    <w:rsid w:val="00DE2B62"/>
    <w:rsid w:val="00DE2C9C"/>
    <w:rsid w:val="00DE3A2D"/>
    <w:rsid w:val="00DE4A1B"/>
    <w:rsid w:val="00DE7458"/>
    <w:rsid w:val="00DE77DE"/>
    <w:rsid w:val="00DE7AD0"/>
    <w:rsid w:val="00DF1068"/>
    <w:rsid w:val="00DF2984"/>
    <w:rsid w:val="00DF2992"/>
    <w:rsid w:val="00DF5B2F"/>
    <w:rsid w:val="00DF6116"/>
    <w:rsid w:val="00DF710B"/>
    <w:rsid w:val="00DF7415"/>
    <w:rsid w:val="00E0000B"/>
    <w:rsid w:val="00E008C1"/>
    <w:rsid w:val="00E00EE2"/>
    <w:rsid w:val="00E0103E"/>
    <w:rsid w:val="00E0198D"/>
    <w:rsid w:val="00E0555E"/>
    <w:rsid w:val="00E07886"/>
    <w:rsid w:val="00E07D37"/>
    <w:rsid w:val="00E12353"/>
    <w:rsid w:val="00E12D06"/>
    <w:rsid w:val="00E13189"/>
    <w:rsid w:val="00E13361"/>
    <w:rsid w:val="00E16AEA"/>
    <w:rsid w:val="00E16E70"/>
    <w:rsid w:val="00E17036"/>
    <w:rsid w:val="00E17B7E"/>
    <w:rsid w:val="00E17DD8"/>
    <w:rsid w:val="00E21DF8"/>
    <w:rsid w:val="00E235F4"/>
    <w:rsid w:val="00E2428C"/>
    <w:rsid w:val="00E25187"/>
    <w:rsid w:val="00E26705"/>
    <w:rsid w:val="00E270F4"/>
    <w:rsid w:val="00E272FB"/>
    <w:rsid w:val="00E301AE"/>
    <w:rsid w:val="00E31379"/>
    <w:rsid w:val="00E314C6"/>
    <w:rsid w:val="00E333E3"/>
    <w:rsid w:val="00E34136"/>
    <w:rsid w:val="00E34546"/>
    <w:rsid w:val="00E35320"/>
    <w:rsid w:val="00E35B0C"/>
    <w:rsid w:val="00E37E4A"/>
    <w:rsid w:val="00E40515"/>
    <w:rsid w:val="00E40F2C"/>
    <w:rsid w:val="00E4120F"/>
    <w:rsid w:val="00E438B3"/>
    <w:rsid w:val="00E457AC"/>
    <w:rsid w:val="00E4598E"/>
    <w:rsid w:val="00E4611F"/>
    <w:rsid w:val="00E50A03"/>
    <w:rsid w:val="00E53A20"/>
    <w:rsid w:val="00E54E76"/>
    <w:rsid w:val="00E56BEB"/>
    <w:rsid w:val="00E575D6"/>
    <w:rsid w:val="00E57683"/>
    <w:rsid w:val="00E603A3"/>
    <w:rsid w:val="00E614DA"/>
    <w:rsid w:val="00E619A7"/>
    <w:rsid w:val="00E63898"/>
    <w:rsid w:val="00E65CD6"/>
    <w:rsid w:val="00E66EA4"/>
    <w:rsid w:val="00E67D08"/>
    <w:rsid w:val="00E67D70"/>
    <w:rsid w:val="00E70922"/>
    <w:rsid w:val="00E724CF"/>
    <w:rsid w:val="00E725F1"/>
    <w:rsid w:val="00E72BD6"/>
    <w:rsid w:val="00E738AC"/>
    <w:rsid w:val="00E81029"/>
    <w:rsid w:val="00E81198"/>
    <w:rsid w:val="00E8177C"/>
    <w:rsid w:val="00E81B1F"/>
    <w:rsid w:val="00E82022"/>
    <w:rsid w:val="00E82097"/>
    <w:rsid w:val="00E82380"/>
    <w:rsid w:val="00E83220"/>
    <w:rsid w:val="00E83253"/>
    <w:rsid w:val="00E86A21"/>
    <w:rsid w:val="00E90994"/>
    <w:rsid w:val="00E90A21"/>
    <w:rsid w:val="00E90E1A"/>
    <w:rsid w:val="00E91665"/>
    <w:rsid w:val="00E943EB"/>
    <w:rsid w:val="00E94B90"/>
    <w:rsid w:val="00EA0D2C"/>
    <w:rsid w:val="00EA37F4"/>
    <w:rsid w:val="00EA3C26"/>
    <w:rsid w:val="00EA3E5B"/>
    <w:rsid w:val="00EA4A7D"/>
    <w:rsid w:val="00EA6376"/>
    <w:rsid w:val="00EB0467"/>
    <w:rsid w:val="00EB0501"/>
    <w:rsid w:val="00EB05C3"/>
    <w:rsid w:val="00EB3707"/>
    <w:rsid w:val="00EB4545"/>
    <w:rsid w:val="00EB5507"/>
    <w:rsid w:val="00EB5DD5"/>
    <w:rsid w:val="00EB79F2"/>
    <w:rsid w:val="00EC0C5C"/>
    <w:rsid w:val="00EC29DE"/>
    <w:rsid w:val="00EC2C53"/>
    <w:rsid w:val="00EC2F8B"/>
    <w:rsid w:val="00EC46D8"/>
    <w:rsid w:val="00EC53B8"/>
    <w:rsid w:val="00EC60BB"/>
    <w:rsid w:val="00EC6F88"/>
    <w:rsid w:val="00EC728F"/>
    <w:rsid w:val="00EC74DD"/>
    <w:rsid w:val="00ED1C17"/>
    <w:rsid w:val="00ED1E51"/>
    <w:rsid w:val="00ED1E69"/>
    <w:rsid w:val="00ED3EAF"/>
    <w:rsid w:val="00ED46BD"/>
    <w:rsid w:val="00ED545C"/>
    <w:rsid w:val="00ED684C"/>
    <w:rsid w:val="00ED7873"/>
    <w:rsid w:val="00ED79B0"/>
    <w:rsid w:val="00EE0A7B"/>
    <w:rsid w:val="00EE23EA"/>
    <w:rsid w:val="00EE2F89"/>
    <w:rsid w:val="00EE3BAD"/>
    <w:rsid w:val="00EE41F9"/>
    <w:rsid w:val="00EE4321"/>
    <w:rsid w:val="00EE5700"/>
    <w:rsid w:val="00EE753A"/>
    <w:rsid w:val="00EE7D07"/>
    <w:rsid w:val="00EF2EF1"/>
    <w:rsid w:val="00EF32AF"/>
    <w:rsid w:val="00EF34B0"/>
    <w:rsid w:val="00EF368B"/>
    <w:rsid w:val="00EF3B0B"/>
    <w:rsid w:val="00EF4685"/>
    <w:rsid w:val="00EF4D37"/>
    <w:rsid w:val="00EF5E20"/>
    <w:rsid w:val="00EF65B5"/>
    <w:rsid w:val="00F01D0C"/>
    <w:rsid w:val="00F03104"/>
    <w:rsid w:val="00F03ED2"/>
    <w:rsid w:val="00F049D3"/>
    <w:rsid w:val="00F07BC1"/>
    <w:rsid w:val="00F11769"/>
    <w:rsid w:val="00F12045"/>
    <w:rsid w:val="00F128B5"/>
    <w:rsid w:val="00F15D52"/>
    <w:rsid w:val="00F1649E"/>
    <w:rsid w:val="00F16B6A"/>
    <w:rsid w:val="00F1743D"/>
    <w:rsid w:val="00F20039"/>
    <w:rsid w:val="00F20B02"/>
    <w:rsid w:val="00F21749"/>
    <w:rsid w:val="00F223A3"/>
    <w:rsid w:val="00F22E4C"/>
    <w:rsid w:val="00F25CFB"/>
    <w:rsid w:val="00F26C47"/>
    <w:rsid w:val="00F32CCD"/>
    <w:rsid w:val="00F32FCF"/>
    <w:rsid w:val="00F339BC"/>
    <w:rsid w:val="00F34190"/>
    <w:rsid w:val="00F34340"/>
    <w:rsid w:val="00F34C7A"/>
    <w:rsid w:val="00F35D11"/>
    <w:rsid w:val="00F36651"/>
    <w:rsid w:val="00F37114"/>
    <w:rsid w:val="00F41D54"/>
    <w:rsid w:val="00F42015"/>
    <w:rsid w:val="00F44565"/>
    <w:rsid w:val="00F45A1B"/>
    <w:rsid w:val="00F474D0"/>
    <w:rsid w:val="00F47BE1"/>
    <w:rsid w:val="00F50F5A"/>
    <w:rsid w:val="00F52867"/>
    <w:rsid w:val="00F528C5"/>
    <w:rsid w:val="00F5383E"/>
    <w:rsid w:val="00F548B8"/>
    <w:rsid w:val="00F55F4D"/>
    <w:rsid w:val="00F56AD0"/>
    <w:rsid w:val="00F57D5A"/>
    <w:rsid w:val="00F6027A"/>
    <w:rsid w:val="00F61284"/>
    <w:rsid w:val="00F6181E"/>
    <w:rsid w:val="00F61F21"/>
    <w:rsid w:val="00F6250B"/>
    <w:rsid w:val="00F64D69"/>
    <w:rsid w:val="00F65DBB"/>
    <w:rsid w:val="00F66F07"/>
    <w:rsid w:val="00F6781F"/>
    <w:rsid w:val="00F701B2"/>
    <w:rsid w:val="00F724D9"/>
    <w:rsid w:val="00F72595"/>
    <w:rsid w:val="00F729B4"/>
    <w:rsid w:val="00F74283"/>
    <w:rsid w:val="00F775FE"/>
    <w:rsid w:val="00F77778"/>
    <w:rsid w:val="00F80499"/>
    <w:rsid w:val="00F82F92"/>
    <w:rsid w:val="00F83BE3"/>
    <w:rsid w:val="00F8520F"/>
    <w:rsid w:val="00F85CD8"/>
    <w:rsid w:val="00F86BA0"/>
    <w:rsid w:val="00F91477"/>
    <w:rsid w:val="00F927CD"/>
    <w:rsid w:val="00F92990"/>
    <w:rsid w:val="00F9745E"/>
    <w:rsid w:val="00FA0CC9"/>
    <w:rsid w:val="00FA16A9"/>
    <w:rsid w:val="00FA26E4"/>
    <w:rsid w:val="00FA3F55"/>
    <w:rsid w:val="00FA60B9"/>
    <w:rsid w:val="00FA6B89"/>
    <w:rsid w:val="00FA6C5D"/>
    <w:rsid w:val="00FA7640"/>
    <w:rsid w:val="00FB1822"/>
    <w:rsid w:val="00FB22E9"/>
    <w:rsid w:val="00FB3019"/>
    <w:rsid w:val="00FB326B"/>
    <w:rsid w:val="00FB32FB"/>
    <w:rsid w:val="00FB55F9"/>
    <w:rsid w:val="00FB57A1"/>
    <w:rsid w:val="00FB58D8"/>
    <w:rsid w:val="00FC28B8"/>
    <w:rsid w:val="00FC2910"/>
    <w:rsid w:val="00FC2C5B"/>
    <w:rsid w:val="00FC3495"/>
    <w:rsid w:val="00FC6249"/>
    <w:rsid w:val="00FC6833"/>
    <w:rsid w:val="00FD105F"/>
    <w:rsid w:val="00FD379D"/>
    <w:rsid w:val="00FD4E96"/>
    <w:rsid w:val="00FD5E9F"/>
    <w:rsid w:val="00FD73D1"/>
    <w:rsid w:val="00FD78F2"/>
    <w:rsid w:val="00FE122A"/>
    <w:rsid w:val="00FE27B2"/>
    <w:rsid w:val="00FE47D9"/>
    <w:rsid w:val="00FE4A2E"/>
    <w:rsid w:val="00FE4AF3"/>
    <w:rsid w:val="00FE4D21"/>
    <w:rsid w:val="00FE6A27"/>
    <w:rsid w:val="00FE722B"/>
    <w:rsid w:val="00FE72D0"/>
    <w:rsid w:val="00FE76A7"/>
    <w:rsid w:val="00FF083C"/>
    <w:rsid w:val="00FF21BA"/>
    <w:rsid w:val="00FF2AE6"/>
    <w:rsid w:val="00FF3C13"/>
    <w:rsid w:val="00FF4005"/>
    <w:rsid w:val="00FF5B30"/>
    <w:rsid w:val="00FF6581"/>
    <w:rsid w:val="00FF74E1"/>
    <w:rsid w:val="0101FA4F"/>
    <w:rsid w:val="0159ABE5"/>
    <w:rsid w:val="016289B1"/>
    <w:rsid w:val="017B7F83"/>
    <w:rsid w:val="01C3C9DA"/>
    <w:rsid w:val="01DA68FF"/>
    <w:rsid w:val="01E48099"/>
    <w:rsid w:val="0314B57D"/>
    <w:rsid w:val="034FC7A3"/>
    <w:rsid w:val="0367E0F1"/>
    <w:rsid w:val="03D145CC"/>
    <w:rsid w:val="05593575"/>
    <w:rsid w:val="055A3A40"/>
    <w:rsid w:val="05CFE58D"/>
    <w:rsid w:val="0686D0ED"/>
    <w:rsid w:val="06A5B0DE"/>
    <w:rsid w:val="06D34FC0"/>
    <w:rsid w:val="06EB04DA"/>
    <w:rsid w:val="072723A6"/>
    <w:rsid w:val="0782258D"/>
    <w:rsid w:val="0806B553"/>
    <w:rsid w:val="087588C4"/>
    <w:rsid w:val="08DCE724"/>
    <w:rsid w:val="0916E300"/>
    <w:rsid w:val="09A2AF04"/>
    <w:rsid w:val="09C3D9A5"/>
    <w:rsid w:val="0A1BF888"/>
    <w:rsid w:val="0A57E57F"/>
    <w:rsid w:val="0B62F8E4"/>
    <w:rsid w:val="0BCC3681"/>
    <w:rsid w:val="0C23AC80"/>
    <w:rsid w:val="0CED3D7F"/>
    <w:rsid w:val="0DAFF22E"/>
    <w:rsid w:val="0DBADEA9"/>
    <w:rsid w:val="0DC725E5"/>
    <w:rsid w:val="0DCFCC70"/>
    <w:rsid w:val="0E2588F8"/>
    <w:rsid w:val="0E430564"/>
    <w:rsid w:val="0E7D1B57"/>
    <w:rsid w:val="0F288298"/>
    <w:rsid w:val="0FB08002"/>
    <w:rsid w:val="10DD16AF"/>
    <w:rsid w:val="10F057C8"/>
    <w:rsid w:val="1237174F"/>
    <w:rsid w:val="12A430FD"/>
    <w:rsid w:val="133A4EB1"/>
    <w:rsid w:val="1385B42F"/>
    <w:rsid w:val="13A75E60"/>
    <w:rsid w:val="13D7FFBF"/>
    <w:rsid w:val="143CE2B9"/>
    <w:rsid w:val="1487A801"/>
    <w:rsid w:val="14B53C58"/>
    <w:rsid w:val="160A5005"/>
    <w:rsid w:val="163143E5"/>
    <w:rsid w:val="163F44D6"/>
    <w:rsid w:val="167C4476"/>
    <w:rsid w:val="16A5DD61"/>
    <w:rsid w:val="16C13B65"/>
    <w:rsid w:val="1803A83A"/>
    <w:rsid w:val="18561B5A"/>
    <w:rsid w:val="1868F479"/>
    <w:rsid w:val="18AEE787"/>
    <w:rsid w:val="1971378D"/>
    <w:rsid w:val="19ABCE0A"/>
    <w:rsid w:val="1A06C5C4"/>
    <w:rsid w:val="1A17F8D1"/>
    <w:rsid w:val="1A6BB508"/>
    <w:rsid w:val="1A839353"/>
    <w:rsid w:val="1AF84A4B"/>
    <w:rsid w:val="1B0336C6"/>
    <w:rsid w:val="1B938E17"/>
    <w:rsid w:val="1B9D3434"/>
    <w:rsid w:val="1BBB1E16"/>
    <w:rsid w:val="1C8312A6"/>
    <w:rsid w:val="1D25A2D0"/>
    <w:rsid w:val="1E40D699"/>
    <w:rsid w:val="1E4143E6"/>
    <w:rsid w:val="1E614945"/>
    <w:rsid w:val="1F3DAA43"/>
    <w:rsid w:val="1F4BA15F"/>
    <w:rsid w:val="1F9A9A9F"/>
    <w:rsid w:val="1FCBEE3F"/>
    <w:rsid w:val="1FCBF8F0"/>
    <w:rsid w:val="1FFC1D87"/>
    <w:rsid w:val="2001E36C"/>
    <w:rsid w:val="202745FA"/>
    <w:rsid w:val="20379E1D"/>
    <w:rsid w:val="20663AB6"/>
    <w:rsid w:val="20788F34"/>
    <w:rsid w:val="20E2C8F0"/>
    <w:rsid w:val="212920A5"/>
    <w:rsid w:val="21411A12"/>
    <w:rsid w:val="22020B17"/>
    <w:rsid w:val="224F3DEF"/>
    <w:rsid w:val="22DCF537"/>
    <w:rsid w:val="22E4473D"/>
    <w:rsid w:val="2326F971"/>
    <w:rsid w:val="2335B6DF"/>
    <w:rsid w:val="235D6D78"/>
    <w:rsid w:val="2374B929"/>
    <w:rsid w:val="2520B6CC"/>
    <w:rsid w:val="25447873"/>
    <w:rsid w:val="2584B919"/>
    <w:rsid w:val="259386FC"/>
    <w:rsid w:val="259E7377"/>
    <w:rsid w:val="2657D105"/>
    <w:rsid w:val="26EBD37A"/>
    <w:rsid w:val="27BA1921"/>
    <w:rsid w:val="28AC1F40"/>
    <w:rsid w:val="28E82EA2"/>
    <w:rsid w:val="28F4FE12"/>
    <w:rsid w:val="298C4A99"/>
    <w:rsid w:val="2A2565C7"/>
    <w:rsid w:val="2A285955"/>
    <w:rsid w:val="2ACBACCD"/>
    <w:rsid w:val="2AE3A63A"/>
    <w:rsid w:val="2C140DEF"/>
    <w:rsid w:val="2C66A385"/>
    <w:rsid w:val="2C91539B"/>
    <w:rsid w:val="2D177822"/>
    <w:rsid w:val="2D4ACEB1"/>
    <w:rsid w:val="2DE6EA7F"/>
    <w:rsid w:val="2E0FF5DA"/>
    <w:rsid w:val="2EFC8273"/>
    <w:rsid w:val="2F700BA3"/>
    <w:rsid w:val="2FAF8F79"/>
    <w:rsid w:val="30275D14"/>
    <w:rsid w:val="3039C6BA"/>
    <w:rsid w:val="30B2F9AC"/>
    <w:rsid w:val="30B35B00"/>
    <w:rsid w:val="30EC9FEC"/>
    <w:rsid w:val="3163F0BF"/>
    <w:rsid w:val="3196E28E"/>
    <w:rsid w:val="3250C17C"/>
    <w:rsid w:val="33622F63"/>
    <w:rsid w:val="3423E96B"/>
    <w:rsid w:val="351738E5"/>
    <w:rsid w:val="3529F2B7"/>
    <w:rsid w:val="3571062A"/>
    <w:rsid w:val="3593E700"/>
    <w:rsid w:val="35AD894D"/>
    <w:rsid w:val="367510E1"/>
    <w:rsid w:val="37280571"/>
    <w:rsid w:val="37BC7451"/>
    <w:rsid w:val="37DB3C66"/>
    <w:rsid w:val="37DFB255"/>
    <w:rsid w:val="384040E8"/>
    <w:rsid w:val="384E422F"/>
    <w:rsid w:val="38D9D900"/>
    <w:rsid w:val="3904FABE"/>
    <w:rsid w:val="39310CEC"/>
    <w:rsid w:val="397A5D6D"/>
    <w:rsid w:val="39935A5F"/>
    <w:rsid w:val="39D8F9BD"/>
    <w:rsid w:val="3A8CCDC1"/>
    <w:rsid w:val="3A96E55B"/>
    <w:rsid w:val="3ABD6D5C"/>
    <w:rsid w:val="3B59FC9E"/>
    <w:rsid w:val="3C0EBC73"/>
    <w:rsid w:val="3D2F2F83"/>
    <w:rsid w:val="3DE12D66"/>
    <w:rsid w:val="3DFB51C9"/>
    <w:rsid w:val="3F88A9DA"/>
    <w:rsid w:val="3FA86BE3"/>
    <w:rsid w:val="3FAABF79"/>
    <w:rsid w:val="3FCD46D0"/>
    <w:rsid w:val="3FDC4AEF"/>
    <w:rsid w:val="40396E1C"/>
    <w:rsid w:val="405C2133"/>
    <w:rsid w:val="4077B8D7"/>
    <w:rsid w:val="40A67FBB"/>
    <w:rsid w:val="40B02290"/>
    <w:rsid w:val="41800B31"/>
    <w:rsid w:val="41B9C767"/>
    <w:rsid w:val="4235F817"/>
    <w:rsid w:val="42698F8A"/>
    <w:rsid w:val="4283F3A9"/>
    <w:rsid w:val="4289992C"/>
    <w:rsid w:val="42E68988"/>
    <w:rsid w:val="42F6C840"/>
    <w:rsid w:val="4448099E"/>
    <w:rsid w:val="44737BF7"/>
    <w:rsid w:val="44A11288"/>
    <w:rsid w:val="44B91765"/>
    <w:rsid w:val="45136FAE"/>
    <w:rsid w:val="451D1DF7"/>
    <w:rsid w:val="453C9031"/>
    <w:rsid w:val="457ED3B0"/>
    <w:rsid w:val="45A153F6"/>
    <w:rsid w:val="45CD8FF4"/>
    <w:rsid w:val="46C75E81"/>
    <w:rsid w:val="4759949B"/>
    <w:rsid w:val="475BA989"/>
    <w:rsid w:val="47857545"/>
    <w:rsid w:val="47C1176A"/>
    <w:rsid w:val="485BBA31"/>
    <w:rsid w:val="48766FEA"/>
    <w:rsid w:val="48D1184D"/>
    <w:rsid w:val="490C53F3"/>
    <w:rsid w:val="49354D9C"/>
    <w:rsid w:val="49B78B7A"/>
    <w:rsid w:val="49C913B0"/>
    <w:rsid w:val="49E9A44B"/>
    <w:rsid w:val="49FBED13"/>
    <w:rsid w:val="4A2FCE2A"/>
    <w:rsid w:val="4A985D23"/>
    <w:rsid w:val="4AB442A6"/>
    <w:rsid w:val="4AF2F0C9"/>
    <w:rsid w:val="4AF8B82C"/>
    <w:rsid w:val="4AFDA5D9"/>
    <w:rsid w:val="4B278C18"/>
    <w:rsid w:val="4B34142A"/>
    <w:rsid w:val="4B65EDBE"/>
    <w:rsid w:val="4BA49E1B"/>
    <w:rsid w:val="4BDB13F5"/>
    <w:rsid w:val="4BECD44F"/>
    <w:rsid w:val="4BF43B57"/>
    <w:rsid w:val="4CC8AEE0"/>
    <w:rsid w:val="4D788D36"/>
    <w:rsid w:val="4DD03D18"/>
    <w:rsid w:val="4DDD681E"/>
    <w:rsid w:val="4E40397D"/>
    <w:rsid w:val="4EC9C1B9"/>
    <w:rsid w:val="4EDA0EA1"/>
    <w:rsid w:val="4F60AA94"/>
    <w:rsid w:val="50D4EA7B"/>
    <w:rsid w:val="50E81A82"/>
    <w:rsid w:val="50FF537F"/>
    <w:rsid w:val="516B8643"/>
    <w:rsid w:val="5184CA5F"/>
    <w:rsid w:val="5303CA11"/>
    <w:rsid w:val="5314A4B8"/>
    <w:rsid w:val="53BF9585"/>
    <w:rsid w:val="53EF9F7E"/>
    <w:rsid w:val="549F9A72"/>
    <w:rsid w:val="54B606C6"/>
    <w:rsid w:val="54FC091A"/>
    <w:rsid w:val="5622A79A"/>
    <w:rsid w:val="5665DF1D"/>
    <w:rsid w:val="566BB857"/>
    <w:rsid w:val="5671D11C"/>
    <w:rsid w:val="57020EB5"/>
    <w:rsid w:val="57511D12"/>
    <w:rsid w:val="5770FE90"/>
    <w:rsid w:val="57D2B8DC"/>
    <w:rsid w:val="57D73B34"/>
    <w:rsid w:val="580080A7"/>
    <w:rsid w:val="583FB601"/>
    <w:rsid w:val="58A04494"/>
    <w:rsid w:val="58A68B26"/>
    <w:rsid w:val="58AE45DB"/>
    <w:rsid w:val="58B01406"/>
    <w:rsid w:val="5951FD2B"/>
    <w:rsid w:val="596CB91F"/>
    <w:rsid w:val="599C5108"/>
    <w:rsid w:val="59C3BECB"/>
    <w:rsid w:val="5A38FBD8"/>
    <w:rsid w:val="5B9256EF"/>
    <w:rsid w:val="5BAEF162"/>
    <w:rsid w:val="5BC6B7FE"/>
    <w:rsid w:val="5BD80F62"/>
    <w:rsid w:val="5D19435F"/>
    <w:rsid w:val="5D2C09C0"/>
    <w:rsid w:val="5D2FC58E"/>
    <w:rsid w:val="5D8F332F"/>
    <w:rsid w:val="5DB1E646"/>
    <w:rsid w:val="5DCB011F"/>
    <w:rsid w:val="5E101ADB"/>
    <w:rsid w:val="5E6D82F7"/>
    <w:rsid w:val="5F110241"/>
    <w:rsid w:val="5F21174E"/>
    <w:rsid w:val="5F4EE771"/>
    <w:rsid w:val="5F5C940F"/>
    <w:rsid w:val="5FFDB19B"/>
    <w:rsid w:val="6076FB1F"/>
    <w:rsid w:val="607EF0B9"/>
    <w:rsid w:val="6092267E"/>
    <w:rsid w:val="60A3F8A1"/>
    <w:rsid w:val="60B0A0EC"/>
    <w:rsid w:val="610115B0"/>
    <w:rsid w:val="61696516"/>
    <w:rsid w:val="61AAC7CF"/>
    <w:rsid w:val="61D46056"/>
    <w:rsid w:val="61F990BC"/>
    <w:rsid w:val="62266437"/>
    <w:rsid w:val="62432301"/>
    <w:rsid w:val="6292D39A"/>
    <w:rsid w:val="62F49F97"/>
    <w:rsid w:val="6319E367"/>
    <w:rsid w:val="634541B7"/>
    <w:rsid w:val="63543C36"/>
    <w:rsid w:val="635C2435"/>
    <w:rsid w:val="63F32E29"/>
    <w:rsid w:val="642F3B8C"/>
    <w:rsid w:val="646C3BD5"/>
    <w:rsid w:val="64A48365"/>
    <w:rsid w:val="64BB66C2"/>
    <w:rsid w:val="652924C4"/>
    <w:rsid w:val="653CAB4B"/>
    <w:rsid w:val="659CDF62"/>
    <w:rsid w:val="664D55D4"/>
    <w:rsid w:val="66734C13"/>
    <w:rsid w:val="6687C162"/>
    <w:rsid w:val="66A04995"/>
    <w:rsid w:val="66C9E280"/>
    <w:rsid w:val="66DF4C37"/>
    <w:rsid w:val="674400FE"/>
    <w:rsid w:val="6762BC0E"/>
    <w:rsid w:val="67726041"/>
    <w:rsid w:val="67772312"/>
    <w:rsid w:val="6788A685"/>
    <w:rsid w:val="67F6C549"/>
    <w:rsid w:val="68744C0D"/>
    <w:rsid w:val="689997E2"/>
    <w:rsid w:val="69395D24"/>
    <w:rsid w:val="69E8DEBC"/>
    <w:rsid w:val="69E9252E"/>
    <w:rsid w:val="6A22B906"/>
    <w:rsid w:val="6A433991"/>
    <w:rsid w:val="6BBE8967"/>
    <w:rsid w:val="6BE8C2D9"/>
    <w:rsid w:val="6C3495A5"/>
    <w:rsid w:val="6C856DD1"/>
    <w:rsid w:val="6D00DFF8"/>
    <w:rsid w:val="6D2DDD7A"/>
    <w:rsid w:val="6D949B97"/>
    <w:rsid w:val="6DA8A699"/>
    <w:rsid w:val="6DEC50BE"/>
    <w:rsid w:val="6E730CD6"/>
    <w:rsid w:val="6F359C4F"/>
    <w:rsid w:val="6F373B18"/>
    <w:rsid w:val="6F41473B"/>
    <w:rsid w:val="6F718387"/>
    <w:rsid w:val="6FB9FA42"/>
    <w:rsid w:val="700F74C6"/>
    <w:rsid w:val="7053B3B7"/>
    <w:rsid w:val="70E5241A"/>
    <w:rsid w:val="7100A6F1"/>
    <w:rsid w:val="71832CE3"/>
    <w:rsid w:val="71DD8145"/>
    <w:rsid w:val="72292977"/>
    <w:rsid w:val="726EDBDA"/>
    <w:rsid w:val="72AD8053"/>
    <w:rsid w:val="73E8A1B2"/>
    <w:rsid w:val="741C8015"/>
    <w:rsid w:val="7457318C"/>
    <w:rsid w:val="74EFD494"/>
    <w:rsid w:val="75040552"/>
    <w:rsid w:val="75B088BF"/>
    <w:rsid w:val="75F412FC"/>
    <w:rsid w:val="774A3A83"/>
    <w:rsid w:val="7795D779"/>
    <w:rsid w:val="77CC54E7"/>
    <w:rsid w:val="78081CCD"/>
    <w:rsid w:val="78BE4DE4"/>
    <w:rsid w:val="7989313A"/>
    <w:rsid w:val="79D38CC8"/>
    <w:rsid w:val="79F514D1"/>
    <w:rsid w:val="7A616453"/>
    <w:rsid w:val="7A8A0AD5"/>
    <w:rsid w:val="7ACFF253"/>
    <w:rsid w:val="7B34A8DB"/>
    <w:rsid w:val="7BD5614F"/>
    <w:rsid w:val="7C88287A"/>
    <w:rsid w:val="7CA2D39B"/>
    <w:rsid w:val="7CAA077F"/>
    <w:rsid w:val="7D3083D6"/>
    <w:rsid w:val="7DAE13EE"/>
    <w:rsid w:val="7DD153D2"/>
    <w:rsid w:val="7DDCDD95"/>
    <w:rsid w:val="7E48FF0E"/>
    <w:rsid w:val="7E78DDEB"/>
    <w:rsid w:val="7E8C2917"/>
    <w:rsid w:val="7EAD774E"/>
    <w:rsid w:val="7EAF5D97"/>
    <w:rsid w:val="7F554C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28E19"/>
  <w15:docId w15:val="{5E7F4AD2-F053-4273-B6DD-D5FADFE1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A63"/>
    <w:rPr>
      <w:rFonts w:ascii="Arial" w:hAnsi="Arial"/>
      <w:sz w:val="24"/>
      <w:szCs w:val="24"/>
      <w:lang w:eastAsia="en-US"/>
    </w:rPr>
  </w:style>
  <w:style w:type="paragraph" w:styleId="Heading1">
    <w:name w:val="heading 1"/>
    <w:basedOn w:val="Normal"/>
    <w:next w:val="Heading2"/>
    <w:link w:val="Heading1Char"/>
    <w:qFormat/>
    <w:rsid w:val="00BF72DD"/>
    <w:pPr>
      <w:spacing w:after="480"/>
      <w:outlineLvl w:val="0"/>
    </w:pPr>
    <w:rPr>
      <w:sz w:val="48"/>
    </w:rPr>
  </w:style>
  <w:style w:type="paragraph" w:styleId="Heading2">
    <w:name w:val="heading 2"/>
    <w:basedOn w:val="Normal"/>
    <w:next w:val="BodyText"/>
    <w:qFormat/>
    <w:rsid w:val="004C427E"/>
    <w:pPr>
      <w:spacing w:after="240"/>
      <w:outlineLvl w:val="1"/>
    </w:pPr>
    <w:rPr>
      <w:sz w:val="36"/>
    </w:rPr>
  </w:style>
  <w:style w:type="paragraph" w:styleId="Heading3">
    <w:name w:val="heading 3"/>
    <w:basedOn w:val="BodyText"/>
    <w:next w:val="BodyText"/>
    <w:qFormat/>
    <w:rsid w:val="0052716E"/>
    <w:pPr>
      <w:outlineLvl w:val="2"/>
    </w:pPr>
    <w:rPr>
      <w:rFonts w:ascii="Arial Bold" w:hAnsi="Arial Bold"/>
      <w:b/>
      <w:sz w:val="26"/>
    </w:rPr>
  </w:style>
  <w:style w:type="paragraph" w:styleId="Heading4">
    <w:name w:val="heading 4"/>
    <w:basedOn w:val="BodyText"/>
    <w:next w:val="BodyText"/>
    <w:qFormat/>
    <w:rsid w:val="00EC728F"/>
    <w:pPr>
      <w:spacing w:after="0"/>
      <w:outlineLvl w:val="3"/>
    </w:pPr>
    <w:rPr>
      <w:rFonts w:ascii="Arial Bold" w:hAnsi="Arial Bold"/>
      <w:b/>
      <w:sz w:val="22"/>
    </w:rPr>
  </w:style>
  <w:style w:type="paragraph" w:styleId="Heading5">
    <w:name w:val="heading 5"/>
    <w:basedOn w:val="BodyText"/>
    <w:next w:val="BodyText"/>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uiPriority w:val="39"/>
    <w:rsid w:val="00C11526"/>
    <w:pPr>
      <w:tabs>
        <w:tab w:val="right" w:pos="9628"/>
      </w:tabs>
      <w:spacing w:before="480" w:after="480"/>
    </w:pPr>
    <w:rPr>
      <w:b/>
    </w:rPr>
  </w:style>
  <w:style w:type="paragraph" w:styleId="CommentText">
    <w:name w:val="annotation text"/>
    <w:basedOn w:val="Normal"/>
    <w:link w:val="CommentTextChar"/>
    <w:uiPriority w:val="99"/>
    <w:semiHidden/>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uiPriority w:val="39"/>
    <w:rsid w:val="00C11526"/>
    <w:pPr>
      <w:tabs>
        <w:tab w:val="right" w:pos="9628"/>
      </w:tabs>
      <w:spacing w:before="240" w:after="240"/>
    </w:pPr>
  </w:style>
  <w:style w:type="character" w:styleId="Hyperlink">
    <w:name w:val="Hyperlink"/>
    <w:uiPriority w:val="99"/>
    <w:rsid w:val="00AC16B4"/>
    <w:rPr>
      <w:color w:val="0000FF"/>
      <w:u w:val="single"/>
    </w:rPr>
  </w:style>
  <w:style w:type="paragraph" w:styleId="FootnoteText">
    <w:name w:val="footnote text"/>
    <w:basedOn w:val="Normal"/>
    <w:link w:val="FootnoteTextChar"/>
    <w:uiPriority w:val="99"/>
    <w:rsid w:val="00024C6D"/>
    <w:rPr>
      <w:sz w:val="20"/>
      <w:szCs w:val="20"/>
    </w:rPr>
  </w:style>
  <w:style w:type="character" w:styleId="FootnoteReference">
    <w:name w:val="footnote reference"/>
    <w:uiPriority w:val="99"/>
    <w:semiHidden/>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5"/>
      </w:numPr>
      <w:spacing w:after="240"/>
    </w:pPr>
  </w:style>
  <w:style w:type="paragraph" w:styleId="ListNumber2">
    <w:name w:val="List Number 2"/>
    <w:aliases w:val="Numbered Para 2"/>
    <w:basedOn w:val="Normal"/>
    <w:rsid w:val="00027B64"/>
    <w:pPr>
      <w:numPr>
        <w:ilvl w:val="1"/>
        <w:numId w:val="5"/>
      </w:numPr>
      <w:spacing w:after="240"/>
    </w:pPr>
  </w:style>
  <w:style w:type="character" w:customStyle="1" w:styleId="ListNumberChar">
    <w:name w:val="List Number Char"/>
    <w:aliases w:val="Numbered Para Char"/>
    <w:link w:val="ListNumber"/>
    <w:rsid w:val="00027B64"/>
    <w:rPr>
      <w:rFonts w:ascii="Arial" w:hAnsi="Arial"/>
      <w:sz w:val="24"/>
      <w:szCs w:val="24"/>
      <w:lang w:eastAsia="en-US"/>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6"/>
      </w:numPr>
    </w:pPr>
  </w:style>
  <w:style w:type="paragraph" w:customStyle="1" w:styleId="NumberLevel2">
    <w:name w:val="Number Level 2"/>
    <w:basedOn w:val="BodyText"/>
    <w:rsid w:val="00BB3903"/>
    <w:pPr>
      <w:numPr>
        <w:ilvl w:val="1"/>
        <w:numId w:val="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TOCHeading">
    <w:name w:val="TOC Heading"/>
    <w:basedOn w:val="Heading1"/>
    <w:next w:val="Normal"/>
    <w:uiPriority w:val="39"/>
    <w:semiHidden/>
    <w:unhideWhenUsed/>
    <w:qFormat/>
    <w:rsid w:val="00583714"/>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583714"/>
    <w:pPr>
      <w:ind w:left="480"/>
    </w:pPr>
  </w:style>
  <w:style w:type="character" w:customStyle="1" w:styleId="Heading1Char">
    <w:name w:val="Heading 1 Char"/>
    <w:link w:val="Heading1"/>
    <w:rsid w:val="00CF3860"/>
    <w:rPr>
      <w:rFonts w:ascii="Arial" w:hAnsi="Arial"/>
      <w:sz w:val="48"/>
      <w:szCs w:val="24"/>
      <w:lang w:eastAsia="en-US"/>
    </w:rPr>
  </w:style>
  <w:style w:type="paragraph" w:styleId="BalloonText">
    <w:name w:val="Balloon Text"/>
    <w:basedOn w:val="Normal"/>
    <w:link w:val="BalloonTextChar"/>
    <w:rsid w:val="00C74D38"/>
    <w:rPr>
      <w:rFonts w:ascii="Tahoma" w:hAnsi="Tahoma" w:cs="Tahoma"/>
      <w:sz w:val="16"/>
      <w:szCs w:val="16"/>
    </w:rPr>
  </w:style>
  <w:style w:type="character" w:customStyle="1" w:styleId="BalloonTextChar">
    <w:name w:val="Balloon Text Char"/>
    <w:basedOn w:val="DefaultParagraphFont"/>
    <w:link w:val="BalloonText"/>
    <w:rsid w:val="00C74D38"/>
    <w:rPr>
      <w:rFonts w:ascii="Tahoma" w:hAnsi="Tahoma" w:cs="Tahoma"/>
      <w:sz w:val="16"/>
      <w:szCs w:val="16"/>
      <w:lang w:eastAsia="en-US"/>
    </w:rPr>
  </w:style>
  <w:style w:type="paragraph" w:styleId="ListParagraph">
    <w:name w:val="List Paragraph"/>
    <w:basedOn w:val="Normal"/>
    <w:uiPriority w:val="34"/>
    <w:qFormat/>
    <w:rsid w:val="008B2F88"/>
    <w:pPr>
      <w:ind w:left="720"/>
      <w:contextualSpacing/>
    </w:pPr>
    <w:rPr>
      <w:rFonts w:ascii="Times New Roman" w:eastAsiaTheme="minorHAnsi" w:hAnsi="Times New Roman" w:cs="Arial"/>
    </w:rPr>
  </w:style>
  <w:style w:type="character" w:styleId="CommentReference">
    <w:name w:val="annotation reference"/>
    <w:basedOn w:val="DefaultParagraphFont"/>
    <w:uiPriority w:val="99"/>
    <w:rsid w:val="008B2F88"/>
    <w:rPr>
      <w:sz w:val="16"/>
      <w:szCs w:val="16"/>
    </w:rPr>
  </w:style>
  <w:style w:type="paragraph" w:styleId="CommentSubject">
    <w:name w:val="annotation subject"/>
    <w:basedOn w:val="CommentText"/>
    <w:next w:val="CommentText"/>
    <w:link w:val="CommentSubjectChar"/>
    <w:rsid w:val="008B2F88"/>
    <w:rPr>
      <w:b/>
      <w:bCs/>
    </w:rPr>
  </w:style>
  <w:style w:type="character" w:customStyle="1" w:styleId="CommentTextChar">
    <w:name w:val="Comment Text Char"/>
    <w:basedOn w:val="DefaultParagraphFont"/>
    <w:link w:val="CommentText"/>
    <w:uiPriority w:val="99"/>
    <w:semiHidden/>
    <w:rsid w:val="008B2F88"/>
    <w:rPr>
      <w:rFonts w:ascii="Arial" w:hAnsi="Arial"/>
      <w:lang w:eastAsia="en-US"/>
    </w:rPr>
  </w:style>
  <w:style w:type="character" w:customStyle="1" w:styleId="CommentSubjectChar">
    <w:name w:val="Comment Subject Char"/>
    <w:basedOn w:val="CommentTextChar"/>
    <w:link w:val="CommentSubject"/>
    <w:rsid w:val="008B2F88"/>
    <w:rPr>
      <w:rFonts w:ascii="Arial" w:hAnsi="Arial"/>
      <w:b/>
      <w:bCs/>
      <w:lang w:eastAsia="en-US"/>
    </w:rPr>
  </w:style>
  <w:style w:type="character" w:styleId="UnresolvedMention">
    <w:name w:val="Unresolved Mention"/>
    <w:basedOn w:val="DefaultParagraphFont"/>
    <w:uiPriority w:val="99"/>
    <w:unhideWhenUsed/>
    <w:rsid w:val="00E25187"/>
    <w:rPr>
      <w:color w:val="605E5C"/>
      <w:shd w:val="clear" w:color="auto" w:fill="E1DFDD"/>
    </w:rPr>
  </w:style>
  <w:style w:type="paragraph" w:customStyle="1" w:styleId="Default">
    <w:name w:val="Default"/>
    <w:rsid w:val="000B2E59"/>
    <w:pPr>
      <w:autoSpaceDE w:val="0"/>
      <w:autoSpaceDN w:val="0"/>
      <w:adjustRightInd w:val="0"/>
    </w:pPr>
    <w:rPr>
      <w:rFonts w:ascii="Calibri" w:eastAsiaTheme="minorHAnsi" w:hAnsi="Calibri" w:cs="Calibri"/>
      <w:color w:val="000000"/>
      <w:sz w:val="24"/>
      <w:szCs w:val="24"/>
      <w:lang w:eastAsia="en-US"/>
    </w:rPr>
  </w:style>
  <w:style w:type="paragraph" w:customStyle="1" w:styleId="paragraph">
    <w:name w:val="paragraph"/>
    <w:basedOn w:val="Normal"/>
    <w:rsid w:val="00BF2A6A"/>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BF2A6A"/>
  </w:style>
  <w:style w:type="character" w:customStyle="1" w:styleId="eop">
    <w:name w:val="eop"/>
    <w:basedOn w:val="DefaultParagraphFont"/>
    <w:rsid w:val="00BF2A6A"/>
  </w:style>
  <w:style w:type="table" w:styleId="GridTable4-Accent1">
    <w:name w:val="Grid Table 4 Accent 1"/>
    <w:basedOn w:val="TableNormal"/>
    <w:uiPriority w:val="49"/>
    <w:rsid w:val="001E1F60"/>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42015"/>
    <w:rPr>
      <w:rFonts w:ascii="Arial" w:hAnsi="Arial"/>
      <w:sz w:val="24"/>
      <w:szCs w:val="24"/>
      <w:lang w:eastAsia="en-US"/>
    </w:rPr>
  </w:style>
  <w:style w:type="character" w:styleId="Mention">
    <w:name w:val="Mention"/>
    <w:basedOn w:val="DefaultParagraphFont"/>
    <w:uiPriority w:val="99"/>
    <w:unhideWhenUsed/>
    <w:rsid w:val="00581652"/>
    <w:rPr>
      <w:color w:val="2B579A"/>
      <w:shd w:val="clear" w:color="auto" w:fill="E1DFDD"/>
    </w:rPr>
  </w:style>
  <w:style w:type="paragraph" w:styleId="NormalWeb">
    <w:name w:val="Normal (Web)"/>
    <w:basedOn w:val="Normal"/>
    <w:uiPriority w:val="99"/>
    <w:unhideWhenUsed/>
    <w:rsid w:val="00C535EA"/>
    <w:pPr>
      <w:spacing w:before="100" w:beforeAutospacing="1" w:after="100" w:afterAutospacing="1"/>
    </w:pPr>
    <w:rPr>
      <w:rFonts w:ascii="Times New Roman" w:hAnsi="Times New Roman"/>
      <w:lang w:eastAsia="en-GB"/>
    </w:rPr>
  </w:style>
  <w:style w:type="character" w:customStyle="1" w:styleId="FootnoteTextChar">
    <w:name w:val="Footnote Text Char"/>
    <w:basedOn w:val="DefaultParagraphFont"/>
    <w:link w:val="FootnoteText"/>
    <w:uiPriority w:val="99"/>
    <w:rsid w:val="004565E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9869">
      <w:bodyDiv w:val="1"/>
      <w:marLeft w:val="0"/>
      <w:marRight w:val="0"/>
      <w:marTop w:val="0"/>
      <w:marBottom w:val="0"/>
      <w:divBdr>
        <w:top w:val="none" w:sz="0" w:space="0" w:color="auto"/>
        <w:left w:val="none" w:sz="0" w:space="0" w:color="auto"/>
        <w:bottom w:val="none" w:sz="0" w:space="0" w:color="auto"/>
        <w:right w:val="none" w:sz="0" w:space="0" w:color="auto"/>
      </w:divBdr>
    </w:div>
    <w:div w:id="212624472">
      <w:bodyDiv w:val="1"/>
      <w:marLeft w:val="0"/>
      <w:marRight w:val="0"/>
      <w:marTop w:val="0"/>
      <w:marBottom w:val="0"/>
      <w:divBdr>
        <w:top w:val="none" w:sz="0" w:space="0" w:color="auto"/>
        <w:left w:val="none" w:sz="0" w:space="0" w:color="auto"/>
        <w:bottom w:val="none" w:sz="0" w:space="0" w:color="auto"/>
        <w:right w:val="none" w:sz="0" w:space="0" w:color="auto"/>
      </w:divBdr>
      <w:divsChild>
        <w:div w:id="587036376">
          <w:marLeft w:val="0"/>
          <w:marRight w:val="0"/>
          <w:marTop w:val="0"/>
          <w:marBottom w:val="0"/>
          <w:divBdr>
            <w:top w:val="none" w:sz="0" w:space="0" w:color="auto"/>
            <w:left w:val="none" w:sz="0" w:space="0" w:color="auto"/>
            <w:bottom w:val="none" w:sz="0" w:space="0" w:color="auto"/>
            <w:right w:val="none" w:sz="0" w:space="0" w:color="auto"/>
          </w:divBdr>
        </w:div>
        <w:div w:id="634602900">
          <w:marLeft w:val="0"/>
          <w:marRight w:val="0"/>
          <w:marTop w:val="0"/>
          <w:marBottom w:val="0"/>
          <w:divBdr>
            <w:top w:val="none" w:sz="0" w:space="0" w:color="auto"/>
            <w:left w:val="none" w:sz="0" w:space="0" w:color="auto"/>
            <w:bottom w:val="none" w:sz="0" w:space="0" w:color="auto"/>
            <w:right w:val="none" w:sz="0" w:space="0" w:color="auto"/>
          </w:divBdr>
        </w:div>
        <w:div w:id="1206986231">
          <w:marLeft w:val="0"/>
          <w:marRight w:val="0"/>
          <w:marTop w:val="0"/>
          <w:marBottom w:val="0"/>
          <w:divBdr>
            <w:top w:val="none" w:sz="0" w:space="0" w:color="auto"/>
            <w:left w:val="none" w:sz="0" w:space="0" w:color="auto"/>
            <w:bottom w:val="none" w:sz="0" w:space="0" w:color="auto"/>
            <w:right w:val="none" w:sz="0" w:space="0" w:color="auto"/>
          </w:divBdr>
        </w:div>
        <w:div w:id="1749496216">
          <w:marLeft w:val="0"/>
          <w:marRight w:val="0"/>
          <w:marTop w:val="0"/>
          <w:marBottom w:val="0"/>
          <w:divBdr>
            <w:top w:val="none" w:sz="0" w:space="0" w:color="auto"/>
            <w:left w:val="none" w:sz="0" w:space="0" w:color="auto"/>
            <w:bottom w:val="none" w:sz="0" w:space="0" w:color="auto"/>
            <w:right w:val="none" w:sz="0" w:space="0" w:color="auto"/>
          </w:divBdr>
        </w:div>
        <w:div w:id="1753088699">
          <w:marLeft w:val="0"/>
          <w:marRight w:val="0"/>
          <w:marTop w:val="0"/>
          <w:marBottom w:val="0"/>
          <w:divBdr>
            <w:top w:val="none" w:sz="0" w:space="0" w:color="auto"/>
            <w:left w:val="none" w:sz="0" w:space="0" w:color="auto"/>
            <w:bottom w:val="none" w:sz="0" w:space="0" w:color="auto"/>
            <w:right w:val="none" w:sz="0" w:space="0" w:color="auto"/>
          </w:divBdr>
        </w:div>
      </w:divsChild>
    </w:div>
    <w:div w:id="260183072">
      <w:bodyDiv w:val="1"/>
      <w:marLeft w:val="0"/>
      <w:marRight w:val="0"/>
      <w:marTop w:val="0"/>
      <w:marBottom w:val="0"/>
      <w:divBdr>
        <w:top w:val="none" w:sz="0" w:space="0" w:color="auto"/>
        <w:left w:val="none" w:sz="0" w:space="0" w:color="auto"/>
        <w:bottom w:val="none" w:sz="0" w:space="0" w:color="auto"/>
        <w:right w:val="none" w:sz="0" w:space="0" w:color="auto"/>
      </w:divBdr>
    </w:div>
    <w:div w:id="784542096">
      <w:bodyDiv w:val="1"/>
      <w:marLeft w:val="0"/>
      <w:marRight w:val="0"/>
      <w:marTop w:val="0"/>
      <w:marBottom w:val="0"/>
      <w:divBdr>
        <w:top w:val="none" w:sz="0" w:space="0" w:color="auto"/>
        <w:left w:val="none" w:sz="0" w:space="0" w:color="auto"/>
        <w:bottom w:val="none" w:sz="0" w:space="0" w:color="auto"/>
        <w:right w:val="none" w:sz="0" w:space="0" w:color="auto"/>
      </w:divBdr>
    </w:div>
    <w:div w:id="1146438489">
      <w:bodyDiv w:val="1"/>
      <w:marLeft w:val="0"/>
      <w:marRight w:val="0"/>
      <w:marTop w:val="0"/>
      <w:marBottom w:val="0"/>
      <w:divBdr>
        <w:top w:val="none" w:sz="0" w:space="0" w:color="auto"/>
        <w:left w:val="none" w:sz="0" w:space="0" w:color="auto"/>
        <w:bottom w:val="none" w:sz="0" w:space="0" w:color="auto"/>
        <w:right w:val="none" w:sz="0" w:space="0" w:color="auto"/>
      </w:divBdr>
      <w:divsChild>
        <w:div w:id="702364348">
          <w:marLeft w:val="0"/>
          <w:marRight w:val="0"/>
          <w:marTop w:val="0"/>
          <w:marBottom w:val="0"/>
          <w:divBdr>
            <w:top w:val="none" w:sz="0" w:space="0" w:color="auto"/>
            <w:left w:val="none" w:sz="0" w:space="0" w:color="auto"/>
            <w:bottom w:val="none" w:sz="0" w:space="0" w:color="auto"/>
            <w:right w:val="none" w:sz="0" w:space="0" w:color="auto"/>
          </w:divBdr>
          <w:divsChild>
            <w:div w:id="1700230160">
              <w:marLeft w:val="0"/>
              <w:marRight w:val="0"/>
              <w:marTop w:val="0"/>
              <w:marBottom w:val="0"/>
              <w:divBdr>
                <w:top w:val="none" w:sz="0" w:space="0" w:color="auto"/>
                <w:left w:val="none" w:sz="0" w:space="0" w:color="auto"/>
                <w:bottom w:val="none" w:sz="0" w:space="0" w:color="auto"/>
                <w:right w:val="none" w:sz="0" w:space="0" w:color="auto"/>
              </w:divBdr>
              <w:divsChild>
                <w:div w:id="1744184415">
                  <w:marLeft w:val="0"/>
                  <w:marRight w:val="0"/>
                  <w:marTop w:val="0"/>
                  <w:marBottom w:val="0"/>
                  <w:divBdr>
                    <w:top w:val="none" w:sz="0" w:space="0" w:color="auto"/>
                    <w:left w:val="none" w:sz="0" w:space="0" w:color="auto"/>
                    <w:bottom w:val="none" w:sz="0" w:space="0" w:color="auto"/>
                    <w:right w:val="none" w:sz="0" w:space="0" w:color="auto"/>
                  </w:divBdr>
                  <w:divsChild>
                    <w:div w:id="290720124">
                      <w:marLeft w:val="0"/>
                      <w:marRight w:val="0"/>
                      <w:marTop w:val="0"/>
                      <w:marBottom w:val="0"/>
                      <w:divBdr>
                        <w:top w:val="none" w:sz="0" w:space="0" w:color="auto"/>
                        <w:left w:val="none" w:sz="0" w:space="0" w:color="auto"/>
                        <w:bottom w:val="none" w:sz="0" w:space="0" w:color="auto"/>
                        <w:right w:val="none" w:sz="0" w:space="0" w:color="auto"/>
                      </w:divBdr>
                      <w:divsChild>
                        <w:div w:id="653148895">
                          <w:marLeft w:val="0"/>
                          <w:marRight w:val="0"/>
                          <w:marTop w:val="0"/>
                          <w:marBottom w:val="0"/>
                          <w:divBdr>
                            <w:top w:val="none" w:sz="0" w:space="0" w:color="auto"/>
                            <w:left w:val="none" w:sz="0" w:space="0" w:color="auto"/>
                            <w:bottom w:val="none" w:sz="0" w:space="0" w:color="auto"/>
                            <w:right w:val="none" w:sz="0" w:space="0" w:color="auto"/>
                          </w:divBdr>
                          <w:divsChild>
                            <w:div w:id="122237740">
                              <w:marLeft w:val="0"/>
                              <w:marRight w:val="0"/>
                              <w:marTop w:val="0"/>
                              <w:marBottom w:val="0"/>
                              <w:divBdr>
                                <w:top w:val="none" w:sz="0" w:space="0" w:color="auto"/>
                                <w:left w:val="none" w:sz="0" w:space="0" w:color="auto"/>
                                <w:bottom w:val="none" w:sz="0" w:space="0" w:color="auto"/>
                                <w:right w:val="none" w:sz="0" w:space="0" w:color="auto"/>
                              </w:divBdr>
                              <w:divsChild>
                                <w:div w:id="38632253">
                                  <w:marLeft w:val="0"/>
                                  <w:marRight w:val="0"/>
                                  <w:marTop w:val="0"/>
                                  <w:marBottom w:val="0"/>
                                  <w:divBdr>
                                    <w:top w:val="none" w:sz="0" w:space="0" w:color="auto"/>
                                    <w:left w:val="none" w:sz="0" w:space="0" w:color="auto"/>
                                    <w:bottom w:val="none" w:sz="0" w:space="0" w:color="auto"/>
                                    <w:right w:val="none" w:sz="0" w:space="0" w:color="auto"/>
                                  </w:divBdr>
                                </w:div>
                              </w:divsChild>
                            </w:div>
                            <w:div w:id="1231426471">
                              <w:marLeft w:val="0"/>
                              <w:marRight w:val="0"/>
                              <w:marTop w:val="0"/>
                              <w:marBottom w:val="0"/>
                              <w:divBdr>
                                <w:top w:val="none" w:sz="0" w:space="0" w:color="auto"/>
                                <w:left w:val="none" w:sz="0" w:space="0" w:color="auto"/>
                                <w:bottom w:val="none" w:sz="0" w:space="0" w:color="auto"/>
                                <w:right w:val="none" w:sz="0" w:space="0" w:color="auto"/>
                              </w:divBdr>
                              <w:divsChild>
                                <w:div w:id="324935367">
                                  <w:marLeft w:val="0"/>
                                  <w:marRight w:val="0"/>
                                  <w:marTop w:val="0"/>
                                  <w:marBottom w:val="0"/>
                                  <w:divBdr>
                                    <w:top w:val="none" w:sz="0" w:space="0" w:color="auto"/>
                                    <w:left w:val="none" w:sz="0" w:space="0" w:color="auto"/>
                                    <w:bottom w:val="none" w:sz="0" w:space="0" w:color="auto"/>
                                    <w:right w:val="none" w:sz="0" w:space="0" w:color="auto"/>
                                  </w:divBdr>
                                  <w:divsChild>
                                    <w:div w:id="172183755">
                                      <w:marLeft w:val="0"/>
                                      <w:marRight w:val="0"/>
                                      <w:marTop w:val="0"/>
                                      <w:marBottom w:val="0"/>
                                      <w:divBdr>
                                        <w:top w:val="none" w:sz="0" w:space="0" w:color="auto"/>
                                        <w:left w:val="none" w:sz="0" w:space="0" w:color="auto"/>
                                        <w:bottom w:val="none" w:sz="0" w:space="0" w:color="auto"/>
                                        <w:right w:val="none" w:sz="0" w:space="0" w:color="auto"/>
                                      </w:divBdr>
                                      <w:divsChild>
                                        <w:div w:id="1096442243">
                                          <w:marLeft w:val="0"/>
                                          <w:marRight w:val="0"/>
                                          <w:marTop w:val="0"/>
                                          <w:marBottom w:val="0"/>
                                          <w:divBdr>
                                            <w:top w:val="none" w:sz="0" w:space="0" w:color="auto"/>
                                            <w:left w:val="none" w:sz="0" w:space="0" w:color="auto"/>
                                            <w:bottom w:val="none" w:sz="0" w:space="0" w:color="auto"/>
                                            <w:right w:val="none" w:sz="0" w:space="0" w:color="auto"/>
                                          </w:divBdr>
                                        </w:div>
                                        <w:div w:id="1736392602">
                                          <w:marLeft w:val="0"/>
                                          <w:marRight w:val="0"/>
                                          <w:marTop w:val="0"/>
                                          <w:marBottom w:val="0"/>
                                          <w:divBdr>
                                            <w:top w:val="none" w:sz="0" w:space="0" w:color="auto"/>
                                            <w:left w:val="none" w:sz="0" w:space="0" w:color="auto"/>
                                            <w:bottom w:val="none" w:sz="0" w:space="0" w:color="auto"/>
                                            <w:right w:val="none" w:sz="0" w:space="0" w:color="auto"/>
                                          </w:divBdr>
                                        </w:div>
                                        <w:div w:id="2054227431">
                                          <w:marLeft w:val="0"/>
                                          <w:marRight w:val="0"/>
                                          <w:marTop w:val="0"/>
                                          <w:marBottom w:val="0"/>
                                          <w:divBdr>
                                            <w:top w:val="none" w:sz="0" w:space="0" w:color="auto"/>
                                            <w:left w:val="none" w:sz="0" w:space="0" w:color="auto"/>
                                            <w:bottom w:val="none" w:sz="0" w:space="0" w:color="auto"/>
                                            <w:right w:val="none" w:sz="0" w:space="0" w:color="auto"/>
                                          </w:divBdr>
                                        </w:div>
                                        <w:div w:id="2142796154">
                                          <w:marLeft w:val="0"/>
                                          <w:marRight w:val="0"/>
                                          <w:marTop w:val="0"/>
                                          <w:marBottom w:val="0"/>
                                          <w:divBdr>
                                            <w:top w:val="none" w:sz="0" w:space="0" w:color="auto"/>
                                            <w:left w:val="none" w:sz="0" w:space="0" w:color="auto"/>
                                            <w:bottom w:val="none" w:sz="0" w:space="0" w:color="auto"/>
                                            <w:right w:val="none" w:sz="0" w:space="0" w:color="auto"/>
                                          </w:divBdr>
                                        </w:div>
                                      </w:divsChild>
                                    </w:div>
                                    <w:div w:id="2112045552">
                                      <w:marLeft w:val="0"/>
                                      <w:marRight w:val="0"/>
                                      <w:marTop w:val="0"/>
                                      <w:marBottom w:val="0"/>
                                      <w:divBdr>
                                        <w:top w:val="none" w:sz="0" w:space="0" w:color="auto"/>
                                        <w:left w:val="none" w:sz="0" w:space="0" w:color="auto"/>
                                        <w:bottom w:val="none" w:sz="0" w:space="0" w:color="auto"/>
                                        <w:right w:val="none" w:sz="0" w:space="0" w:color="auto"/>
                                      </w:divBdr>
                                      <w:divsChild>
                                        <w:div w:id="17089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16567">
          <w:marLeft w:val="0"/>
          <w:marRight w:val="0"/>
          <w:marTop w:val="0"/>
          <w:marBottom w:val="0"/>
          <w:divBdr>
            <w:top w:val="none" w:sz="0" w:space="0" w:color="auto"/>
            <w:left w:val="none" w:sz="0" w:space="0" w:color="auto"/>
            <w:bottom w:val="none" w:sz="0" w:space="0" w:color="auto"/>
            <w:right w:val="none" w:sz="0" w:space="0" w:color="auto"/>
          </w:divBdr>
          <w:divsChild>
            <w:div w:id="555438429">
              <w:marLeft w:val="0"/>
              <w:marRight w:val="0"/>
              <w:marTop w:val="0"/>
              <w:marBottom w:val="0"/>
              <w:divBdr>
                <w:top w:val="none" w:sz="0" w:space="0" w:color="auto"/>
                <w:left w:val="none" w:sz="0" w:space="0" w:color="auto"/>
                <w:bottom w:val="none" w:sz="0" w:space="0" w:color="auto"/>
                <w:right w:val="none" w:sz="0" w:space="0" w:color="auto"/>
              </w:divBdr>
              <w:divsChild>
                <w:div w:id="1790587795">
                  <w:marLeft w:val="0"/>
                  <w:marRight w:val="0"/>
                  <w:marTop w:val="0"/>
                  <w:marBottom w:val="0"/>
                  <w:divBdr>
                    <w:top w:val="none" w:sz="0" w:space="0" w:color="auto"/>
                    <w:left w:val="none" w:sz="0" w:space="0" w:color="auto"/>
                    <w:bottom w:val="none" w:sz="0" w:space="0" w:color="auto"/>
                    <w:right w:val="none" w:sz="0" w:space="0" w:color="auto"/>
                  </w:divBdr>
                  <w:divsChild>
                    <w:div w:id="343165112">
                      <w:marLeft w:val="0"/>
                      <w:marRight w:val="0"/>
                      <w:marTop w:val="0"/>
                      <w:marBottom w:val="0"/>
                      <w:divBdr>
                        <w:top w:val="none" w:sz="0" w:space="0" w:color="auto"/>
                        <w:left w:val="none" w:sz="0" w:space="0" w:color="auto"/>
                        <w:bottom w:val="none" w:sz="0" w:space="0" w:color="auto"/>
                        <w:right w:val="none" w:sz="0" w:space="0" w:color="auto"/>
                      </w:divBdr>
                      <w:divsChild>
                        <w:div w:id="313997903">
                          <w:marLeft w:val="0"/>
                          <w:marRight w:val="0"/>
                          <w:marTop w:val="0"/>
                          <w:marBottom w:val="0"/>
                          <w:divBdr>
                            <w:top w:val="none" w:sz="0" w:space="0" w:color="auto"/>
                            <w:left w:val="none" w:sz="0" w:space="0" w:color="auto"/>
                            <w:bottom w:val="none" w:sz="0" w:space="0" w:color="auto"/>
                            <w:right w:val="none" w:sz="0" w:space="0" w:color="auto"/>
                          </w:divBdr>
                          <w:divsChild>
                            <w:div w:id="225143629">
                              <w:marLeft w:val="0"/>
                              <w:marRight w:val="0"/>
                              <w:marTop w:val="0"/>
                              <w:marBottom w:val="0"/>
                              <w:divBdr>
                                <w:top w:val="none" w:sz="0" w:space="0" w:color="auto"/>
                                <w:left w:val="none" w:sz="0" w:space="0" w:color="auto"/>
                                <w:bottom w:val="none" w:sz="0" w:space="0" w:color="auto"/>
                                <w:right w:val="none" w:sz="0" w:space="0" w:color="auto"/>
                              </w:divBdr>
                              <w:divsChild>
                                <w:div w:id="1313212547">
                                  <w:marLeft w:val="0"/>
                                  <w:marRight w:val="0"/>
                                  <w:marTop w:val="0"/>
                                  <w:marBottom w:val="0"/>
                                  <w:divBdr>
                                    <w:top w:val="none" w:sz="0" w:space="0" w:color="auto"/>
                                    <w:left w:val="none" w:sz="0" w:space="0" w:color="auto"/>
                                    <w:bottom w:val="none" w:sz="0" w:space="0" w:color="auto"/>
                                    <w:right w:val="none" w:sz="0" w:space="0" w:color="auto"/>
                                  </w:divBdr>
                                  <w:divsChild>
                                    <w:div w:id="143935922">
                                      <w:marLeft w:val="0"/>
                                      <w:marRight w:val="0"/>
                                      <w:marTop w:val="0"/>
                                      <w:marBottom w:val="0"/>
                                      <w:divBdr>
                                        <w:top w:val="none" w:sz="0" w:space="0" w:color="auto"/>
                                        <w:left w:val="none" w:sz="0" w:space="0" w:color="auto"/>
                                        <w:bottom w:val="none" w:sz="0" w:space="0" w:color="auto"/>
                                        <w:right w:val="none" w:sz="0" w:space="0" w:color="auto"/>
                                      </w:divBdr>
                                      <w:divsChild>
                                        <w:div w:id="294340145">
                                          <w:marLeft w:val="0"/>
                                          <w:marRight w:val="0"/>
                                          <w:marTop w:val="0"/>
                                          <w:marBottom w:val="0"/>
                                          <w:divBdr>
                                            <w:top w:val="none" w:sz="0" w:space="0" w:color="auto"/>
                                            <w:left w:val="none" w:sz="0" w:space="0" w:color="auto"/>
                                            <w:bottom w:val="none" w:sz="0" w:space="0" w:color="auto"/>
                                            <w:right w:val="none" w:sz="0" w:space="0" w:color="auto"/>
                                          </w:divBdr>
                                        </w:div>
                                        <w:div w:id="1364332348">
                                          <w:marLeft w:val="0"/>
                                          <w:marRight w:val="0"/>
                                          <w:marTop w:val="0"/>
                                          <w:marBottom w:val="0"/>
                                          <w:divBdr>
                                            <w:top w:val="none" w:sz="0" w:space="0" w:color="auto"/>
                                            <w:left w:val="none" w:sz="0" w:space="0" w:color="auto"/>
                                            <w:bottom w:val="none" w:sz="0" w:space="0" w:color="auto"/>
                                            <w:right w:val="none" w:sz="0" w:space="0" w:color="auto"/>
                                          </w:divBdr>
                                        </w:div>
                                        <w:div w:id="1508402660">
                                          <w:marLeft w:val="0"/>
                                          <w:marRight w:val="0"/>
                                          <w:marTop w:val="0"/>
                                          <w:marBottom w:val="0"/>
                                          <w:divBdr>
                                            <w:top w:val="none" w:sz="0" w:space="0" w:color="auto"/>
                                            <w:left w:val="none" w:sz="0" w:space="0" w:color="auto"/>
                                            <w:bottom w:val="none" w:sz="0" w:space="0" w:color="auto"/>
                                            <w:right w:val="none" w:sz="0" w:space="0" w:color="auto"/>
                                          </w:divBdr>
                                        </w:div>
                                        <w:div w:id="2126151262">
                                          <w:marLeft w:val="0"/>
                                          <w:marRight w:val="0"/>
                                          <w:marTop w:val="0"/>
                                          <w:marBottom w:val="0"/>
                                          <w:divBdr>
                                            <w:top w:val="none" w:sz="0" w:space="0" w:color="auto"/>
                                            <w:left w:val="none" w:sz="0" w:space="0" w:color="auto"/>
                                            <w:bottom w:val="none" w:sz="0" w:space="0" w:color="auto"/>
                                            <w:right w:val="none" w:sz="0" w:space="0" w:color="auto"/>
                                          </w:divBdr>
                                        </w:div>
                                      </w:divsChild>
                                    </w:div>
                                    <w:div w:id="1029182512">
                                      <w:marLeft w:val="0"/>
                                      <w:marRight w:val="0"/>
                                      <w:marTop w:val="0"/>
                                      <w:marBottom w:val="0"/>
                                      <w:divBdr>
                                        <w:top w:val="none" w:sz="0" w:space="0" w:color="auto"/>
                                        <w:left w:val="none" w:sz="0" w:space="0" w:color="auto"/>
                                        <w:bottom w:val="none" w:sz="0" w:space="0" w:color="auto"/>
                                        <w:right w:val="none" w:sz="0" w:space="0" w:color="auto"/>
                                      </w:divBdr>
                                      <w:divsChild>
                                        <w:div w:id="552276097">
                                          <w:marLeft w:val="0"/>
                                          <w:marRight w:val="0"/>
                                          <w:marTop w:val="0"/>
                                          <w:marBottom w:val="0"/>
                                          <w:divBdr>
                                            <w:top w:val="none" w:sz="0" w:space="0" w:color="auto"/>
                                            <w:left w:val="none" w:sz="0" w:space="0" w:color="auto"/>
                                            <w:bottom w:val="none" w:sz="0" w:space="0" w:color="auto"/>
                                            <w:right w:val="none" w:sz="0" w:space="0" w:color="auto"/>
                                          </w:divBdr>
                                          <w:divsChild>
                                            <w:div w:id="365326148">
                                              <w:marLeft w:val="0"/>
                                              <w:marRight w:val="0"/>
                                              <w:marTop w:val="0"/>
                                              <w:marBottom w:val="0"/>
                                              <w:divBdr>
                                                <w:top w:val="none" w:sz="0" w:space="0" w:color="auto"/>
                                                <w:left w:val="none" w:sz="0" w:space="0" w:color="auto"/>
                                                <w:bottom w:val="none" w:sz="0" w:space="0" w:color="auto"/>
                                                <w:right w:val="none" w:sz="0" w:space="0" w:color="auto"/>
                                              </w:divBdr>
                                              <w:divsChild>
                                                <w:div w:id="474565334">
                                                  <w:marLeft w:val="0"/>
                                                  <w:marRight w:val="0"/>
                                                  <w:marTop w:val="0"/>
                                                  <w:marBottom w:val="0"/>
                                                  <w:divBdr>
                                                    <w:top w:val="none" w:sz="0" w:space="0" w:color="auto"/>
                                                    <w:left w:val="none" w:sz="0" w:space="0" w:color="auto"/>
                                                    <w:bottom w:val="none" w:sz="0" w:space="0" w:color="auto"/>
                                                    <w:right w:val="none" w:sz="0" w:space="0" w:color="auto"/>
                                                  </w:divBdr>
                                                </w:div>
                                              </w:divsChild>
                                            </w:div>
                                            <w:div w:id="16191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645751">
      <w:bodyDiv w:val="1"/>
      <w:marLeft w:val="0"/>
      <w:marRight w:val="0"/>
      <w:marTop w:val="0"/>
      <w:marBottom w:val="0"/>
      <w:divBdr>
        <w:top w:val="none" w:sz="0" w:space="0" w:color="auto"/>
        <w:left w:val="none" w:sz="0" w:space="0" w:color="auto"/>
        <w:bottom w:val="none" w:sz="0" w:space="0" w:color="auto"/>
        <w:right w:val="none" w:sz="0" w:space="0" w:color="auto"/>
      </w:divBdr>
    </w:div>
    <w:div w:id="1450708855">
      <w:bodyDiv w:val="1"/>
      <w:marLeft w:val="0"/>
      <w:marRight w:val="0"/>
      <w:marTop w:val="0"/>
      <w:marBottom w:val="0"/>
      <w:divBdr>
        <w:top w:val="none" w:sz="0" w:space="0" w:color="auto"/>
        <w:left w:val="none" w:sz="0" w:space="0" w:color="auto"/>
        <w:bottom w:val="none" w:sz="0" w:space="0" w:color="auto"/>
        <w:right w:val="none" w:sz="0" w:space="0" w:color="auto"/>
      </w:divBdr>
      <w:divsChild>
        <w:div w:id="1231887675">
          <w:marLeft w:val="-225"/>
          <w:marRight w:val="-225"/>
          <w:marTop w:val="0"/>
          <w:marBottom w:val="0"/>
          <w:divBdr>
            <w:top w:val="none" w:sz="0" w:space="0" w:color="auto"/>
            <w:left w:val="none" w:sz="0" w:space="0" w:color="auto"/>
            <w:bottom w:val="none" w:sz="0" w:space="0" w:color="auto"/>
            <w:right w:val="none" w:sz="0" w:space="0" w:color="auto"/>
          </w:divBdr>
          <w:divsChild>
            <w:div w:id="15404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sult.levellingup.gov.uk/homelessness-and-rough-sleeping/hpg-technical-consultation-2022"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pp.powerbi.com/view?r=eyJrIjoiOGVmYTc2NTQtNWJiNi00NmFhLWIwM2YtNTQ4ZTdkYzQ1MmY0IiwidCI6ImJmMzQ2ODEwLTljN2QtNDNkZS1hODcyLTI0YTJlZjM5OTVhOCJ9" TargetMode="External"/><Relationship Id="rId7" Type="http://schemas.openxmlformats.org/officeDocument/2006/relationships/styles" Target="styles.xml"/><Relationship Id="rId12" Type="http://schemas.openxmlformats.org/officeDocument/2006/relationships/hyperlink" Target="mailto:Homelessnesspolicy@levellingup.gov.uk" TargetMode="External"/><Relationship Id="rId17" Type="http://schemas.openxmlformats.org/officeDocument/2006/relationships/chart" Target="charts/chart2.xml"/><Relationship Id="rId25" Type="http://schemas.openxmlformats.org/officeDocument/2006/relationships/hyperlink" Target="mailto:dataprotection@levellingup.gov.uk"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co.org.uk/" TargetMode="External"/><Relationship Id="rId5" Type="http://schemas.openxmlformats.org/officeDocument/2006/relationships/customXml" Target="../customXml/item5.xml"/><Relationship Id="rId15" Type="http://schemas.openxmlformats.org/officeDocument/2006/relationships/hyperlink" Target="mailto:Homelessnesspolicy@levellingup.gov.uk" TargetMode="External"/><Relationship Id="rId23" Type="http://schemas.openxmlformats.org/officeDocument/2006/relationships/hyperlink" Target="mailto:dataprotection@levellingup.gov.uk"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omelessnesspolicy@levellingup.gov.uk" TargetMode="External"/><Relationship Id="rId22" Type="http://schemas.openxmlformats.org/officeDocument/2006/relationships/hyperlink" Target="https://www.gov.uk/government/organisations/department-for-levelling-up-housing-and-communities/about/complaints-procedur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2021-area-cost-adjustment" TargetMode="External"/><Relationship Id="rId2" Type="http://schemas.openxmlformats.org/officeDocument/2006/relationships/hyperlink" Target="https://www.ons.gov.uk/peoplepopulationandcommunity/populationandmigration/populationestimates/datasets/populationestimatesforukenglandandwalesscotlandandnorthernireland" TargetMode="External"/><Relationship Id="rId1" Type="http://schemas.openxmlformats.org/officeDocument/2006/relationships/hyperlink" Target="https://www.gov.uk/government/statistics/local-authority-revenue-expenditure-and-financing-england-2019-to-2020-individual-local-authority-data-outturn" TargetMode="External"/><Relationship Id="rId4" Type="http://schemas.openxmlformats.org/officeDocument/2006/relationships/hyperlink" Target="https://www.ons.gov.uk/peoplepopulationandcommunity/housing/datasets/privaterentalmarketsummarystatisticsinengland"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solidFill>
                  <a:schemeClr val="tx2"/>
                </a:solidFill>
                <a:latin typeface="Arial" panose="020B0604020202020204" pitchFamily="34" charset="0"/>
                <a:cs typeface="Arial" panose="020B0604020202020204" pitchFamily="34" charset="0"/>
              </a:rPr>
              <a:t>Current HPG funding formula</a:t>
            </a:r>
          </a:p>
        </c:rich>
      </c:tx>
      <c:layout>
        <c:manualLayout>
          <c:xMode val="edge"/>
          <c:yMode val="edge"/>
          <c:x val="0.19945251494417404"/>
          <c:y val="3.11019986767582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w="9525"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070803452603745E-4"/>
          <c:y val="0"/>
          <c:w val="0.992474692529415"/>
          <c:h val="1"/>
        </c:manualLayout>
      </c:layout>
      <c:pie3DChart>
        <c:varyColors val="1"/>
        <c:ser>
          <c:idx val="0"/>
          <c:order val="0"/>
          <c:tx>
            <c:strRef>
              <c:f>Sheet1!$B$1</c:f>
              <c:strCache>
                <c:ptCount val="1"/>
                <c:pt idx="0">
                  <c:v>The current HPG funding formula</c:v>
                </c:pt>
              </c:strCache>
            </c:strRef>
          </c:tx>
          <c:spPr>
            <a:solidFill>
              <a:schemeClr val="accent1"/>
            </a:solidFill>
          </c:spPr>
          <c:dPt>
            <c:idx val="0"/>
            <c:bubble3D val="0"/>
            <c:spPr>
              <a:solidFill>
                <a:schemeClr val="accent1"/>
              </a:solidFill>
              <a:ln>
                <a:noFill/>
              </a:ln>
              <a:effectLst/>
              <a:sp3d/>
            </c:spPr>
            <c:extLst>
              <c:ext xmlns:c16="http://schemas.microsoft.com/office/drawing/2014/chart" uri="{C3380CC4-5D6E-409C-BE32-E72D297353CC}">
                <c16:uniqueId val="{00000001-554F-4D33-A632-D9BBE5B9E241}"/>
              </c:ext>
            </c:extLst>
          </c:dPt>
          <c:dPt>
            <c:idx val="1"/>
            <c:bubble3D val="0"/>
            <c:spPr>
              <a:solidFill>
                <a:schemeClr val="accent2">
                  <a:lumMod val="60000"/>
                  <a:lumOff val="40000"/>
                </a:schemeClr>
              </a:solidFill>
              <a:ln>
                <a:noFill/>
              </a:ln>
              <a:effectLst/>
              <a:sp3d/>
            </c:spPr>
            <c:extLst>
              <c:ext xmlns:c16="http://schemas.microsoft.com/office/drawing/2014/chart" uri="{C3380CC4-5D6E-409C-BE32-E72D297353CC}">
                <c16:uniqueId val="{00000003-554F-4D33-A632-D9BBE5B9E241}"/>
              </c:ext>
            </c:extLst>
          </c:dPt>
          <c:dPt>
            <c:idx val="2"/>
            <c:bubble3D val="0"/>
            <c:spPr>
              <a:solidFill>
                <a:schemeClr val="accent3">
                  <a:lumMod val="60000"/>
                  <a:lumOff val="40000"/>
                </a:schemeClr>
              </a:solidFill>
              <a:ln>
                <a:noFill/>
              </a:ln>
              <a:effectLst/>
              <a:sp3d/>
            </c:spPr>
            <c:extLst>
              <c:ext xmlns:c16="http://schemas.microsoft.com/office/drawing/2014/chart" uri="{C3380CC4-5D6E-409C-BE32-E72D297353CC}">
                <c16:uniqueId val="{00000005-554F-4D33-A632-D9BBE5B9E241}"/>
              </c:ext>
            </c:extLst>
          </c:dPt>
          <c:dLbls>
            <c:dLbl>
              <c:idx val="0"/>
              <c:layout>
                <c:manualLayout>
                  <c:x val="-0.14678059953573383"/>
                  <c:y val="-0.1523327568808544"/>
                </c:manualLayout>
              </c:layout>
              <c:tx>
                <c:rich>
                  <a:bodyPr rot="0" spcFirstLastPara="1" vertOverflow="ellipsis" vert="horz" wrap="square" lIns="38100" tIns="0" rIns="38100" bIns="19050" anchor="ctr" anchorCtr="1">
                    <a:spAutoFit/>
                  </a:bodyPr>
                  <a:lstStyle/>
                  <a:p>
                    <a:pPr>
                      <a:defRPr sz="2000" b="1" i="0" u="none" strike="noStrike" kern="1200" baseline="0">
                        <a:solidFill>
                          <a:schemeClr val="bg1"/>
                        </a:solidFill>
                        <a:latin typeface="Arial" panose="020B0604020202020204" pitchFamily="34" charset="0"/>
                        <a:ea typeface="+mn-ea"/>
                        <a:cs typeface="Arial" panose="020B0604020202020204" pitchFamily="34" charset="0"/>
                      </a:defRPr>
                    </a:pPr>
                    <a:r>
                      <a:rPr lang="en-US" sz="1800" b="1">
                        <a:solidFill>
                          <a:schemeClr val="bg1"/>
                        </a:solidFill>
                        <a:latin typeface="Arial" panose="020B0604020202020204" pitchFamily="34" charset="0"/>
                        <a:cs typeface="Arial" panose="020B0604020202020204" pitchFamily="34" charset="0"/>
                      </a:rPr>
                      <a:t>£200m</a:t>
                    </a:r>
                  </a:p>
                </c:rich>
              </c:tx>
              <c:spPr>
                <a:noFill/>
                <a:ln>
                  <a:noFill/>
                </a:ln>
                <a:effectLst/>
              </c:spPr>
              <c:txPr>
                <a:bodyPr rot="0" spcFirstLastPara="1" vertOverflow="ellipsis" vert="horz" wrap="square" lIns="38100" tIns="0" rIns="38100" bIns="19050" anchor="ctr" anchorCtr="1">
                  <a:spAutoFit/>
                </a:bodyPr>
                <a:lstStyle/>
                <a:p>
                  <a:pPr>
                    <a:defRPr sz="20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4378705025447869"/>
                      <c:h val="0.12147125006148894"/>
                    </c:manualLayout>
                  </c15:layout>
                  <c15:showDataLabelsRange val="0"/>
                </c:ext>
                <c:ext xmlns:c16="http://schemas.microsoft.com/office/drawing/2014/chart" uri="{C3380CC4-5D6E-409C-BE32-E72D297353CC}">
                  <c16:uniqueId val="{00000001-554F-4D33-A632-D9BBE5B9E241}"/>
                </c:ext>
              </c:extLst>
            </c:dLbl>
            <c:dLbl>
              <c:idx val="1"/>
              <c:layout>
                <c:manualLayout>
                  <c:x val="-2.3506366307541625E-2"/>
                  <c:y val="-8.913380268969819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r>
                      <a:rPr lang="en-US" sz="1800" b="1">
                        <a:solidFill>
                          <a:schemeClr val="bg1"/>
                        </a:solidFill>
                      </a:rPr>
                      <a:t>£63m</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extLst>
                <c:ext xmlns:c15="http://schemas.microsoft.com/office/drawing/2012/chart" uri="{CE6537A1-D6FC-4f65-9D91-7224C49458BB}">
                  <c15:layout>
                    <c:manualLayout>
                      <c:w val="0.33300685602350638"/>
                      <c:h val="0.14910887594847361"/>
                    </c:manualLayout>
                  </c15:layout>
                  <c15:showDataLabelsRange val="0"/>
                </c:ext>
                <c:ext xmlns:c16="http://schemas.microsoft.com/office/drawing/2014/chart" uri="{C3380CC4-5D6E-409C-BE32-E72D297353CC}">
                  <c16:uniqueId val="{00000003-554F-4D33-A632-D9BBE5B9E241}"/>
                </c:ext>
              </c:extLst>
            </c:dLbl>
            <c:dLbl>
              <c:idx val="2"/>
              <c:tx>
                <c:rich>
                  <a:bodyPr/>
                  <a:lstStyle/>
                  <a:p>
                    <a:r>
                      <a:rPr lang="en-US" sz="1600" b="1">
                        <a:solidFill>
                          <a:schemeClr val="bg1"/>
                        </a:solidFill>
                      </a:rPr>
                      <a:t>£47m</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554F-4D33-A632-D9BBE5B9E2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Sheet1!$A$2:$A$4</c:f>
              <c:strCache>
                <c:ptCount val="3"/>
                <c:pt idx="0">
                  <c:v>Allocated in the same way as the Flexible Homelessness Support Grant (FHSG)</c:v>
                </c:pt>
                <c:pt idx="1">
                  <c:v>Allocated in the same way as the Homelessness Reduction Grant (HRG)</c:v>
                </c:pt>
                <c:pt idx="2">
                  <c:v>21-22 uplift: a relative estimate of pressures</c:v>
                </c:pt>
              </c:strCache>
            </c:strRef>
          </c:cat>
          <c:val>
            <c:numRef>
              <c:f>Sheet1!$B$2:$B$4</c:f>
              <c:numCache>
                <c:formatCode>General</c:formatCode>
                <c:ptCount val="3"/>
                <c:pt idx="0">
                  <c:v>200</c:v>
                </c:pt>
                <c:pt idx="1">
                  <c:v>63</c:v>
                </c:pt>
                <c:pt idx="2">
                  <c:v>47</c:v>
                </c:pt>
              </c:numCache>
            </c:numRef>
          </c:val>
          <c:extLst>
            <c:ext xmlns:c16="http://schemas.microsoft.com/office/drawing/2014/chart" uri="{C3380CC4-5D6E-409C-BE32-E72D297353CC}">
              <c16:uniqueId val="{00000006-554F-4D33-A632-D9BBE5B9E241}"/>
            </c:ext>
          </c:extLst>
        </c:ser>
        <c:dLbls>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10998172241202463"/>
          <c:y val="0.77325167413090523"/>
          <c:w val="0.80275937593990765"/>
          <c:h val="0.22674838775346987"/>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Proposed HPG funding formula:</a:t>
            </a:r>
            <a:r>
              <a:rPr lang="en-US" baseline="0">
                <a:latin typeface="Arial" panose="020B0604020202020204" pitchFamily="34" charset="0"/>
                <a:cs typeface="Arial" panose="020B0604020202020204" pitchFamily="34" charset="0"/>
              </a:rPr>
              <a:t> c</a:t>
            </a:r>
            <a:r>
              <a:rPr lang="en-US">
                <a:latin typeface="Arial" panose="020B0604020202020204" pitchFamily="34" charset="0"/>
                <a:cs typeface="Arial" panose="020B0604020202020204" pitchFamily="34" charset="0"/>
              </a:rPr>
              <a:t>ombining</a:t>
            </a:r>
            <a:r>
              <a:rPr lang="en-US" baseline="0">
                <a:latin typeface="Arial" panose="020B0604020202020204" pitchFamily="34" charset="0"/>
                <a:cs typeface="Arial" panose="020B0604020202020204" pitchFamily="34" charset="0"/>
              </a:rPr>
              <a:t> the £47m and £63m elements</a:t>
            </a:r>
            <a:endParaRPr lang="en-US">
              <a:latin typeface="Arial" panose="020B0604020202020204" pitchFamily="34" charset="0"/>
              <a:cs typeface="Arial" panose="020B0604020202020204" pitchFamily="34" charset="0"/>
            </a:endParaRPr>
          </a:p>
        </c:rich>
      </c:tx>
      <c:layout>
        <c:manualLayout>
          <c:xMode val="edge"/>
          <c:yMode val="edge"/>
          <c:x val="0.11102029329346899"/>
          <c:y val="2.290076335877862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Proposed HPG funding formula</c:v>
                </c:pt>
              </c:strCache>
            </c:strRef>
          </c:tx>
          <c:spPr>
            <a:solidFill>
              <a:srgbClr val="92D050"/>
            </a:solidFill>
          </c:spPr>
          <c:dPt>
            <c:idx val="0"/>
            <c:bubble3D val="0"/>
            <c:spPr>
              <a:solidFill>
                <a:schemeClr val="tx2">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0B91-4CBA-AFEF-C9CF43A37B32}"/>
              </c:ext>
            </c:extLst>
          </c:dPt>
          <c:dPt>
            <c:idx val="1"/>
            <c:bubble3D val="0"/>
            <c:spPr>
              <a:solidFill>
                <a:schemeClr val="accent3">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0B91-4CBA-AFEF-C9CF43A37B32}"/>
              </c:ext>
            </c:extLst>
          </c:dPt>
          <c:cat>
            <c:strRef>
              <c:f>Sheet1!$A$2:$A$3</c:f>
              <c:strCache>
                <c:ptCount val="2"/>
                <c:pt idx="0">
                  <c:v>Allocated in a similar way to the Flexible Homelessness Support Grant (FHSG)</c:v>
                </c:pt>
                <c:pt idx="1">
                  <c:v>Combined estimate of prevention pressures (using the HRA uplift formula)</c:v>
                </c:pt>
              </c:strCache>
            </c:strRef>
          </c:cat>
          <c:val>
            <c:numRef>
              <c:f>Sheet1!$B$2:$B$3</c:f>
              <c:numCache>
                <c:formatCode>General</c:formatCode>
                <c:ptCount val="2"/>
                <c:pt idx="0">
                  <c:v>200</c:v>
                </c:pt>
                <c:pt idx="1">
                  <c:v>110</c:v>
                </c:pt>
              </c:numCache>
            </c:numRef>
          </c:val>
          <c:extLst>
            <c:ext xmlns:c16="http://schemas.microsoft.com/office/drawing/2014/chart" uri="{C3380CC4-5D6E-409C-BE32-E72D297353CC}">
              <c16:uniqueId val="{00000004-0B91-4CBA-AFEF-C9CF43A37B32}"/>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3.9487795578204539E-2"/>
          <c:y val="0.79488220222472195"/>
          <c:w val="0.88429887367076809"/>
          <c:h val="0.1733717660292463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0.19274</cdr:x>
      <cdr:y>0.34171</cdr:y>
    </cdr:from>
    <cdr:to>
      <cdr:x>0.46234</cdr:x>
      <cdr:y>0.45351</cdr:y>
    </cdr:to>
    <cdr:sp macro="" textlink="">
      <cdr:nvSpPr>
        <cdr:cNvPr id="2" name="Text Box 50"/>
        <cdr:cNvSpPr txBox="1"/>
      </cdr:nvSpPr>
      <cdr:spPr>
        <a:xfrm xmlns:a="http://schemas.openxmlformats.org/drawingml/2006/main">
          <a:off x="636922" y="1255692"/>
          <a:ext cx="890905" cy="41084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accen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GB" sz="1600" b="1">
              <a:solidFill>
                <a:srgbClr val="FFFFFF"/>
              </a:solidFill>
              <a:effectLst/>
              <a:latin typeface="Arial" panose="020B0604020202020204" pitchFamily="34" charset="0"/>
              <a:ea typeface="Times New Roman" panose="02020603050405020304" pitchFamily="18" charset="0"/>
              <a:cs typeface="Times New Roman" panose="02020603050405020304" pitchFamily="18" charset="0"/>
            </a:rPr>
            <a:t>£110m</a:t>
          </a:r>
          <a:endParaRPr lang="en-GB" sz="16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0.50234</cdr:x>
      <cdr:y>0.43699</cdr:y>
    </cdr:from>
    <cdr:to>
      <cdr:x>0.77194</cdr:x>
      <cdr:y>0.54878</cdr:y>
    </cdr:to>
    <cdr:sp macro="" textlink="">
      <cdr:nvSpPr>
        <cdr:cNvPr id="3" name="Text Box 50"/>
        <cdr:cNvSpPr txBox="1"/>
      </cdr:nvSpPr>
      <cdr:spPr>
        <a:xfrm xmlns:a="http://schemas.openxmlformats.org/drawingml/2006/main">
          <a:off x="1659991" y="1454024"/>
          <a:ext cx="890904" cy="37200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accen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accent1"/>
              </a:solidFill>
              <a:latin typeface="+mn-lt"/>
              <a:ea typeface="+mn-ea"/>
              <a:cs typeface="+mn-cs"/>
            </a:defRPr>
          </a:lvl1pPr>
          <a:lvl2pPr marL="457200" indent="0">
            <a:defRPr sz="1100">
              <a:solidFill>
                <a:schemeClr val="accent1"/>
              </a:solidFill>
              <a:latin typeface="+mn-lt"/>
              <a:ea typeface="+mn-ea"/>
              <a:cs typeface="+mn-cs"/>
            </a:defRPr>
          </a:lvl2pPr>
          <a:lvl3pPr marL="914400" indent="0">
            <a:defRPr sz="1100">
              <a:solidFill>
                <a:schemeClr val="accent1"/>
              </a:solidFill>
              <a:latin typeface="+mn-lt"/>
              <a:ea typeface="+mn-ea"/>
              <a:cs typeface="+mn-cs"/>
            </a:defRPr>
          </a:lvl3pPr>
          <a:lvl4pPr marL="1371600" indent="0">
            <a:defRPr sz="1100">
              <a:solidFill>
                <a:schemeClr val="accent1"/>
              </a:solidFill>
              <a:latin typeface="+mn-lt"/>
              <a:ea typeface="+mn-ea"/>
              <a:cs typeface="+mn-cs"/>
            </a:defRPr>
          </a:lvl4pPr>
          <a:lvl5pPr marL="1828800" indent="0">
            <a:defRPr sz="1100">
              <a:solidFill>
                <a:schemeClr val="accent1"/>
              </a:solidFill>
              <a:latin typeface="+mn-lt"/>
              <a:ea typeface="+mn-ea"/>
              <a:cs typeface="+mn-cs"/>
            </a:defRPr>
          </a:lvl5pPr>
          <a:lvl6pPr marL="2286000" indent="0">
            <a:defRPr sz="1100">
              <a:solidFill>
                <a:schemeClr val="accent1"/>
              </a:solidFill>
              <a:latin typeface="+mn-lt"/>
              <a:ea typeface="+mn-ea"/>
              <a:cs typeface="+mn-cs"/>
            </a:defRPr>
          </a:lvl6pPr>
          <a:lvl7pPr marL="2743200" indent="0">
            <a:defRPr sz="1100">
              <a:solidFill>
                <a:schemeClr val="accent1"/>
              </a:solidFill>
              <a:latin typeface="+mn-lt"/>
              <a:ea typeface="+mn-ea"/>
              <a:cs typeface="+mn-cs"/>
            </a:defRPr>
          </a:lvl7pPr>
          <a:lvl8pPr marL="3200400" indent="0">
            <a:defRPr sz="1100">
              <a:solidFill>
                <a:schemeClr val="accent1"/>
              </a:solidFill>
              <a:latin typeface="+mn-lt"/>
              <a:ea typeface="+mn-ea"/>
              <a:cs typeface="+mn-cs"/>
            </a:defRPr>
          </a:lvl8pPr>
          <a:lvl9pPr marL="3657600" indent="0">
            <a:defRPr sz="1100">
              <a:solidFill>
                <a:schemeClr val="accent1"/>
              </a:solidFill>
              <a:latin typeface="+mn-lt"/>
              <a:ea typeface="+mn-ea"/>
              <a:cs typeface="+mn-cs"/>
            </a:defRPr>
          </a:lvl9pPr>
        </a:lstStyle>
        <a:p xmlns:a="http://schemas.openxmlformats.org/drawingml/2006/main">
          <a:r>
            <a:rPr lang="en-GB" sz="1600" b="1">
              <a:solidFill>
                <a:srgbClr val="FFFFFF"/>
              </a:solidFill>
              <a:effectLst/>
              <a:latin typeface="Arial" panose="020B0604020202020204" pitchFamily="34" charset="0"/>
              <a:ea typeface="Times New Roman" panose="02020603050405020304" pitchFamily="18" charset="0"/>
              <a:cs typeface="Times New Roman" panose="02020603050405020304" pitchFamily="18" charset="0"/>
            </a:rPr>
            <a:t>£200m</a:t>
          </a:r>
          <a:endParaRPr lang="en-GB" sz="16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dded xmlns="3f798431-90b5-4187-92b5-466f94839fab" xsi:nil="true"/>
    <Date xmlns="3f798431-90b5-4187-92b5-466f94839fab">2022-04-07T07:41:15+00:00</Date>
    <date0 xmlns="3f798431-90b5-4187-92b5-466f94839fab" xsi:nil="true"/>
    <Person xmlns="3f798431-90b5-4187-92b5-466f94839fab">
      <UserInfo>
        <DisplayName/>
        <AccountId xsi:nil="true"/>
        <AccountType/>
      </UserInfo>
    </Person>
    <Date2 xmlns="3f798431-90b5-4187-92b5-466f94839fab" xsi:nil="true"/>
    <Lastdatemodified xmlns="3f798431-90b5-4187-92b5-466f94839fab" xsi:nil="true"/>
    <lcf76f155ced4ddcb4097134ff3c332f xmlns="3f798431-90b5-4187-92b5-466f94839fab">
      <Terms xmlns="http://schemas.microsoft.com/office/infopath/2007/PartnerControls"/>
    </lcf76f155ced4ddcb4097134ff3c332f>
    <TaxCatchAll xmlns="83a87e31-bf32-46ab-8e70-9fa18461fa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DBE8A72244E84DB5BAF86030A712CD" ma:contentTypeVersion="27" ma:contentTypeDescription="Create a new document." ma:contentTypeScope="" ma:versionID="4e6f7e915d4c1066262083400e5565d2">
  <xsd:schema xmlns:xsd="http://www.w3.org/2001/XMLSchema" xmlns:xs="http://www.w3.org/2001/XMLSchema" xmlns:p="http://schemas.microsoft.com/office/2006/metadata/properties" xmlns:ns1="http://schemas.microsoft.com/sharepoint/v3" xmlns:ns2="3f798431-90b5-4187-92b5-466f94839fab" xmlns:ns3="b889be83-583e-4720-9fd4-6df7be169308" xmlns:ns4="83a87e31-bf32-46ab-8e70-9fa18461fa4d" targetNamespace="http://schemas.microsoft.com/office/2006/metadata/properties" ma:root="true" ma:fieldsID="9a0ef1d51cea56b456c718ec30e15de1" ns1:_="" ns2:_="" ns3:_="" ns4:_="">
    <xsd:import namespace="http://schemas.microsoft.com/sharepoint/v3"/>
    <xsd:import namespace="3f798431-90b5-4187-92b5-466f94839fab"/>
    <xsd:import namespace="b889be83-583e-4720-9fd4-6df7be169308"/>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Pers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Date" minOccurs="0"/>
                <xsd:element ref="ns2:date0" minOccurs="0"/>
                <xsd:element ref="ns2:dateadded" minOccurs="0"/>
                <xsd:element ref="ns2:Date2" minOccurs="0"/>
                <xsd:element ref="ns2:MediaLengthInSeconds" minOccurs="0"/>
                <xsd:element ref="ns2:Lastdatemodified"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98431-90b5-4187-92b5-466f9483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Person" ma:index="16" nillable="true" ma:displayName="Person" ma:format="Dropdown" ma:list="UserInfo" ma:SharePointGroup="0" ma:internalName="Person">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 ma:index="23" nillable="true" ma:displayName="Date" ma:default="[today]" ma:format="DateOnly" ma:internalName="Date">
      <xsd:simpleType>
        <xsd:restriction base="dms:DateTime"/>
      </xsd:simpleType>
    </xsd:element>
    <xsd:element name="date0" ma:index="24" nillable="true" ma:displayName="date" ma:format="DateTime" ma:internalName="date0">
      <xsd:simpleType>
        <xsd:restriction base="dms:DateTime"/>
      </xsd:simpleType>
    </xsd:element>
    <xsd:element name="dateadded" ma:index="25" nillable="true" ma:displayName="date added" ma:format="DateOnly" ma:internalName="dateadded">
      <xsd:simpleType>
        <xsd:restriction base="dms:DateTime"/>
      </xsd:simpleType>
    </xsd:element>
    <xsd:element name="Date2" ma:index="26" nillable="true" ma:displayName="Date2" ma:format="DateTime" ma:internalName="Date2">
      <xsd:simpleType>
        <xsd:restriction base="dms:DateTime"/>
      </xsd:simpleType>
    </xsd:element>
    <xsd:element name="MediaLengthInSeconds" ma:index="27" nillable="true" ma:displayName="Length (seconds)" ma:internalName="MediaLengthInSeconds" ma:readOnly="true">
      <xsd:simpleType>
        <xsd:restriction base="dms:Unknown"/>
      </xsd:simpleType>
    </xsd:element>
    <xsd:element name="Lastdatemodified" ma:index="28" nillable="true" ma:displayName="Last date modified  " ma:format="DateOnly" ma:internalName="Lastdatemodified">
      <xsd:simpleType>
        <xsd:restriction base="dms:DateTime"/>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89be83-583e-4720-9fd4-6df7be1693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e5bef5fb-2cb4-481a-8ee8-36a8d98c0a59}" ma:internalName="TaxCatchAll" ma:showField="CatchAllData" ma:web="b889be83-583e-4720-9fd4-6df7be1693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C9868-7020-44EE-AAA0-B2EECA2FD07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2671BD-0E88-47F7-B828-265ED55B041F}">
  <ds:schemaRefs>
    <ds:schemaRef ds:uri="http://schemas.microsoft.com/office/2006/metadata/properties"/>
    <ds:schemaRef ds:uri="http://schemas.microsoft.com/office/infopath/2007/PartnerControls"/>
    <ds:schemaRef ds:uri="http://schemas.microsoft.com/sharepoint/v3"/>
    <ds:schemaRef ds:uri="3f798431-90b5-4187-92b5-466f94839fab"/>
    <ds:schemaRef ds:uri="83a87e31-bf32-46ab-8e70-9fa18461fa4d"/>
  </ds:schemaRefs>
</ds:datastoreItem>
</file>

<file path=customXml/itemProps3.xml><?xml version="1.0" encoding="utf-8"?>
<ds:datastoreItem xmlns:ds="http://schemas.openxmlformats.org/officeDocument/2006/customXml" ds:itemID="{C38CA382-DCAF-4D39-9CDE-73B16B16DDE1}">
  <ds:schemaRefs>
    <ds:schemaRef ds:uri="http://schemas.microsoft.com/sharepoint/v3/contenttype/forms"/>
  </ds:schemaRefs>
</ds:datastoreItem>
</file>

<file path=customXml/itemProps4.xml><?xml version="1.0" encoding="utf-8"?>
<ds:datastoreItem xmlns:ds="http://schemas.openxmlformats.org/officeDocument/2006/customXml" ds:itemID="{DB163B35-7E25-43F8-9715-DE21A6CB2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798431-90b5-4187-92b5-466f94839fab"/>
    <ds:schemaRef ds:uri="b889be83-583e-4720-9fd4-6df7be169308"/>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D5F92C-8C24-49ED-AAAC-330E86B9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27</Pages>
  <Words>7112</Words>
  <Characters>40541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Title</vt:lpstr>
    </vt:vector>
  </TitlesOfParts>
  <Company>JP</Company>
  <LinksUpToDate>false</LinksUpToDate>
  <CharactersWithSpaces>47558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bcroxon</dc:creator>
  <cp:keywords/>
  <cp:lastModifiedBy>Robyn Quigley</cp:lastModifiedBy>
  <cp:revision>102</cp:revision>
  <cp:lastPrinted>2012-11-19T05:17:00Z</cp:lastPrinted>
  <dcterms:created xsi:type="dcterms:W3CDTF">2022-06-28T14:16:00Z</dcterms:created>
  <dcterms:modified xsi:type="dcterms:W3CDTF">2022-06-28T17:37:00Z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a7c72ec0-b879-409f-af47-236eaf038a24</vt:lpwstr>
  </property>
  <property fmtid="{D5CDD505-2E9C-101B-9397-08002B2CF9AE}" pid="3" name="bjSaver">
    <vt:lpwstr>XoxPyA69CSuJ9Hk2gPSP8Ish5T9scPHy</vt:lpwstr>
  </property>
  <property fmtid="{D5CDD505-2E9C-101B-9397-08002B2CF9AE}" pid="4" name="bjDocumentSecurityLabel">
    <vt:lpwstr>No Marking</vt:lpwstr>
  </property>
  <property fmtid="{D5CDD505-2E9C-101B-9397-08002B2CF9AE}" pid="5" name="ContentTypeId">
    <vt:lpwstr>0x01010087DBE8A72244E84DB5BAF86030A712CD</vt:lpwstr>
  </property>
  <property fmtid="{D5CDD505-2E9C-101B-9397-08002B2CF9AE}" pid="6" name="MSIP_Label_23229d43-0a80-4268-a5b4-8f98f49eff7f_Enabled">
    <vt:lpwstr>true</vt:lpwstr>
  </property>
  <property fmtid="{D5CDD505-2E9C-101B-9397-08002B2CF9AE}" pid="7" name="MSIP_Label_23229d43-0a80-4268-a5b4-8f98f49eff7f_SetDate">
    <vt:lpwstr>2022-05-31T11:52:54Z</vt:lpwstr>
  </property>
  <property fmtid="{D5CDD505-2E9C-101B-9397-08002B2CF9AE}" pid="8" name="MSIP_Label_23229d43-0a80-4268-a5b4-8f98f49eff7f_Method">
    <vt:lpwstr>Privileged</vt:lpwstr>
  </property>
  <property fmtid="{D5CDD505-2E9C-101B-9397-08002B2CF9AE}" pid="9" name="MSIP_Label_23229d43-0a80-4268-a5b4-8f98f49eff7f_Name">
    <vt:lpwstr>Official</vt:lpwstr>
  </property>
  <property fmtid="{D5CDD505-2E9C-101B-9397-08002B2CF9AE}" pid="10" name="MSIP_Label_23229d43-0a80-4268-a5b4-8f98f49eff7f_SiteId">
    <vt:lpwstr>bf346810-9c7d-43de-a872-24a2ef3995a8</vt:lpwstr>
  </property>
  <property fmtid="{D5CDD505-2E9C-101B-9397-08002B2CF9AE}" pid="11" name="MSIP_Label_23229d43-0a80-4268-a5b4-8f98f49eff7f_ActionId">
    <vt:lpwstr>c6d8e6d9-e145-4e5e-bb58-077adfd635d9</vt:lpwstr>
  </property>
  <property fmtid="{D5CDD505-2E9C-101B-9397-08002B2CF9AE}" pid="12" name="MSIP_Label_23229d43-0a80-4268-a5b4-8f98f49eff7f_ContentBits">
    <vt:lpwstr>0</vt:lpwstr>
  </property>
</Properties>
</file>